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69D9" w14:textId="40FB23BD" w:rsidR="00763DCA" w:rsidRPr="00F63162" w:rsidRDefault="00763DCA" w:rsidP="00763DCA">
      <w:pPr>
        <w:spacing w:line="480" w:lineRule="auto"/>
        <w:jc w:val="center"/>
        <w:rPr>
          <w:rFonts w:ascii="Muli" w:hAnsi="Muli" w:cs="Arial"/>
          <w:b/>
          <w:i/>
          <w:sz w:val="28"/>
          <w:szCs w:val="28"/>
          <w:u w:val="single"/>
        </w:rPr>
      </w:pPr>
      <w:r w:rsidRPr="00F63162">
        <w:rPr>
          <w:rFonts w:ascii="Muli" w:hAnsi="Muli" w:cs="Arial"/>
          <w:b/>
          <w:i/>
          <w:sz w:val="28"/>
          <w:szCs w:val="28"/>
          <w:u w:val="single"/>
        </w:rPr>
        <w:t>SICC SYMPOSIUM 202</w:t>
      </w:r>
      <w:r w:rsidR="00C11183" w:rsidRPr="00F63162">
        <w:rPr>
          <w:rFonts w:ascii="Muli" w:hAnsi="Muli" w:cs="Arial"/>
          <w:b/>
          <w:i/>
          <w:sz w:val="28"/>
          <w:szCs w:val="28"/>
          <w:u w:val="single"/>
        </w:rPr>
        <w:t>1</w:t>
      </w:r>
    </w:p>
    <w:p w14:paraId="369D6986" w14:textId="69A41A1A" w:rsidR="00FC5734" w:rsidRPr="00F63162" w:rsidRDefault="00C11183" w:rsidP="00763DCA">
      <w:pPr>
        <w:spacing w:line="480" w:lineRule="auto"/>
        <w:jc w:val="center"/>
        <w:rPr>
          <w:rFonts w:ascii="Muli" w:hAnsi="Muli" w:cs="Arial"/>
          <w:b/>
          <w:i/>
          <w:sz w:val="28"/>
          <w:szCs w:val="28"/>
          <w:u w:val="single"/>
        </w:rPr>
      </w:pPr>
      <w:r w:rsidRPr="00F63162">
        <w:rPr>
          <w:rFonts w:ascii="Muli" w:hAnsi="Muli" w:cs="Arial"/>
          <w:b/>
          <w:i/>
          <w:sz w:val="28"/>
          <w:szCs w:val="28"/>
          <w:u w:val="single"/>
        </w:rPr>
        <w:t>WITH THE INFLUX OF INTERNATIONAL CROSS-BORDER DISPUTES AND THE FRAMEWORK FOR THE ENFORCEMENT OF COURT JUDGMENTS, ARE INTERNATIONAL COMMERCIAL COURTS MERELY THE LATEST TREND OR ARE THEY THE NEXT FRONTIER IN INTERNATIONAL DISPUTE RESOLUTION?</w:t>
      </w:r>
    </w:p>
    <w:p w14:paraId="3549A81A" w14:textId="77777777" w:rsidR="00C11183" w:rsidRPr="00F63162" w:rsidRDefault="00C11183" w:rsidP="00763DCA">
      <w:pPr>
        <w:spacing w:line="480" w:lineRule="auto"/>
        <w:jc w:val="center"/>
        <w:rPr>
          <w:rFonts w:ascii="Muli" w:hAnsi="Muli" w:cs="Arial"/>
          <w:sz w:val="28"/>
          <w:szCs w:val="28"/>
        </w:rPr>
      </w:pPr>
    </w:p>
    <w:p w14:paraId="68B1D3C6" w14:textId="77777777" w:rsidR="00DC1638" w:rsidRPr="00F63162" w:rsidRDefault="00AC4A05" w:rsidP="00AC4A05">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 xml:space="preserve">It is </w:t>
      </w:r>
      <w:r w:rsidR="00104D91" w:rsidRPr="00F63162">
        <w:rPr>
          <w:rFonts w:ascii="Muli" w:hAnsi="Muli" w:cs="Arial"/>
          <w:sz w:val="28"/>
          <w:szCs w:val="28"/>
        </w:rPr>
        <w:t>a</w:t>
      </w:r>
      <w:r w:rsidRPr="00F63162">
        <w:rPr>
          <w:rFonts w:ascii="Muli" w:hAnsi="Muli" w:cs="Arial"/>
          <w:sz w:val="28"/>
          <w:szCs w:val="28"/>
        </w:rPr>
        <w:t xml:space="preserve"> pleasure and privilege to participate in this Singapore International Commercial Court (“SICC”) Symposium</w:t>
      </w:r>
      <w:r w:rsidR="00DC1638" w:rsidRPr="00F63162">
        <w:rPr>
          <w:rFonts w:ascii="Muli" w:hAnsi="Muli" w:cs="Arial"/>
          <w:sz w:val="28"/>
          <w:szCs w:val="28"/>
        </w:rPr>
        <w:t xml:space="preserve"> – and a delight that it has been reinstated after the unavoidable Covid-19 adjournment</w:t>
      </w:r>
      <w:r w:rsidRPr="00F63162">
        <w:rPr>
          <w:rFonts w:ascii="Muli" w:hAnsi="Muli" w:cs="Arial"/>
          <w:sz w:val="28"/>
          <w:szCs w:val="28"/>
        </w:rPr>
        <w:t>.</w:t>
      </w:r>
      <w:r w:rsidR="00DC1638" w:rsidRPr="00F63162">
        <w:rPr>
          <w:rFonts w:ascii="Muli" w:hAnsi="Muli" w:cs="Arial"/>
          <w:sz w:val="28"/>
          <w:szCs w:val="28"/>
        </w:rPr>
        <w:t xml:space="preserve"> Spectacularly successful though Zoom is, I very much hope we will be meeting in person before too long.</w:t>
      </w:r>
      <w:r w:rsidRPr="00F63162">
        <w:rPr>
          <w:rFonts w:ascii="Muli" w:hAnsi="Muli" w:cs="Arial"/>
          <w:sz w:val="28"/>
          <w:szCs w:val="28"/>
        </w:rPr>
        <w:t xml:space="preserve">  </w:t>
      </w:r>
    </w:p>
    <w:p w14:paraId="4FE5FC4A" w14:textId="1D8DEC60" w:rsidR="00C36AD7" w:rsidRPr="00F63162" w:rsidRDefault="00AC4A05" w:rsidP="00AC4A05">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 xml:space="preserve">The United Kingdom and Singapore have much to share.  Both are island trading nations. </w:t>
      </w:r>
      <w:r w:rsidR="00C36AD7" w:rsidRPr="00F63162">
        <w:rPr>
          <w:rFonts w:ascii="Muli" w:hAnsi="Muli" w:cs="Arial"/>
          <w:bCs/>
          <w:iCs/>
          <w:sz w:val="28"/>
          <w:szCs w:val="28"/>
        </w:rPr>
        <w:t xml:space="preserve">Our jurisdictions (England and Wales and Singapore) </w:t>
      </w:r>
      <w:r w:rsidR="0011618D" w:rsidRPr="00F63162">
        <w:rPr>
          <w:rFonts w:ascii="Muli" w:hAnsi="Muli" w:cs="Arial"/>
          <w:bCs/>
          <w:iCs/>
          <w:sz w:val="28"/>
          <w:szCs w:val="28"/>
        </w:rPr>
        <w:t>enjoy</w:t>
      </w:r>
      <w:r w:rsidR="00C36AD7" w:rsidRPr="00F63162">
        <w:rPr>
          <w:rFonts w:ascii="Muli" w:hAnsi="Muli" w:cs="Arial"/>
          <w:bCs/>
          <w:iCs/>
          <w:sz w:val="28"/>
          <w:szCs w:val="28"/>
        </w:rPr>
        <w:t xml:space="preserve"> a proud common law heritage. Singapore has made huge strides, if I may say so, as a secure regional hub for legal services and dispute resolution, embracing both Courts and arbitration and is </w:t>
      </w:r>
      <w:r w:rsidR="00C36AD7" w:rsidRPr="00F63162">
        <w:rPr>
          <w:rFonts w:ascii="Muli" w:hAnsi="Muli" w:cs="Arial"/>
          <w:bCs/>
          <w:iCs/>
          <w:sz w:val="28"/>
          <w:szCs w:val="28"/>
        </w:rPr>
        <w:lastRenderedPageBreak/>
        <w:t>plainly amongst the leaders internationally in this area – so adding legal services and dispute resolution to Singapore’s longstanding role as a trading hub and cultural crossroads.</w:t>
      </w:r>
      <w:r w:rsidR="00C36AD7" w:rsidRPr="00F63162">
        <w:rPr>
          <w:rStyle w:val="FootnoteReference"/>
          <w:rFonts w:ascii="Muli" w:hAnsi="Muli" w:cs="Arial"/>
          <w:bCs/>
          <w:iCs/>
          <w:sz w:val="28"/>
          <w:szCs w:val="28"/>
        </w:rPr>
        <w:footnoteReference w:id="1"/>
      </w:r>
      <w:r w:rsidRPr="00F63162">
        <w:rPr>
          <w:rFonts w:ascii="Muli" w:hAnsi="Muli" w:cs="Arial"/>
          <w:bCs/>
          <w:iCs/>
          <w:sz w:val="28"/>
          <w:szCs w:val="28"/>
        </w:rPr>
        <w:t xml:space="preserve">  </w:t>
      </w:r>
    </w:p>
    <w:p w14:paraId="46CDA0A2" w14:textId="460FC5CB" w:rsidR="00AA3E15" w:rsidRPr="00F63162" w:rsidRDefault="00805F57" w:rsidP="00AC4A05">
      <w:pPr>
        <w:pStyle w:val="ListParagraph"/>
        <w:numPr>
          <w:ilvl w:val="0"/>
          <w:numId w:val="2"/>
        </w:numPr>
        <w:spacing w:line="480" w:lineRule="auto"/>
        <w:jc w:val="both"/>
        <w:rPr>
          <w:rFonts w:ascii="Muli" w:hAnsi="Muli" w:cs="Arial"/>
          <w:sz w:val="28"/>
          <w:szCs w:val="28"/>
        </w:rPr>
      </w:pPr>
      <w:r w:rsidRPr="00F63162">
        <w:rPr>
          <w:rFonts w:ascii="Muli" w:hAnsi="Muli" w:cs="Arial"/>
          <w:bCs/>
          <w:iCs/>
          <w:sz w:val="28"/>
          <w:szCs w:val="28"/>
        </w:rPr>
        <w:t>Commercial Courts in their modern manifestation developed because of the need for expertise in resolving commercial disputes</w:t>
      </w:r>
      <w:r w:rsidR="005C6EFB" w:rsidRPr="00F63162">
        <w:rPr>
          <w:rFonts w:ascii="Muli" w:hAnsi="Muli" w:cs="Arial"/>
          <w:bCs/>
          <w:iCs/>
          <w:sz w:val="28"/>
          <w:szCs w:val="28"/>
        </w:rPr>
        <w:t xml:space="preserve"> - </w:t>
      </w:r>
      <w:r w:rsidR="002D2089" w:rsidRPr="00F63162">
        <w:rPr>
          <w:rFonts w:ascii="Muli" w:hAnsi="Muli" w:cs="Arial"/>
          <w:bCs/>
          <w:iCs/>
          <w:sz w:val="28"/>
          <w:szCs w:val="28"/>
        </w:rPr>
        <w:t xml:space="preserve">graphically illustrated in England, following the disastrous experience in </w:t>
      </w:r>
      <w:r w:rsidR="002D2089" w:rsidRPr="00F63162">
        <w:rPr>
          <w:rFonts w:ascii="Muli" w:hAnsi="Muli" w:cs="Arial"/>
          <w:bCs/>
          <w:i/>
          <w:sz w:val="28"/>
          <w:szCs w:val="28"/>
        </w:rPr>
        <w:t xml:space="preserve">Rose v Bank of Australasia, </w:t>
      </w:r>
      <w:r w:rsidR="002D2089" w:rsidRPr="00F63162">
        <w:rPr>
          <w:rFonts w:ascii="Muli" w:hAnsi="Muli" w:cs="Arial"/>
          <w:bCs/>
          <w:iCs/>
          <w:sz w:val="28"/>
          <w:szCs w:val="28"/>
        </w:rPr>
        <w:t xml:space="preserve">a complex General Average dispute heard before a Judge manifestly out of his depth.  The upshot was pressure to </w:t>
      </w:r>
      <w:r w:rsidR="005C6EFB" w:rsidRPr="00F63162">
        <w:rPr>
          <w:rFonts w:ascii="Muli" w:hAnsi="Muli" w:cs="Arial"/>
          <w:bCs/>
          <w:iCs/>
          <w:sz w:val="28"/>
          <w:szCs w:val="28"/>
        </w:rPr>
        <w:t>establish</w:t>
      </w:r>
      <w:r w:rsidR="002D2089" w:rsidRPr="00F63162">
        <w:rPr>
          <w:rFonts w:ascii="Muli" w:hAnsi="Muli" w:cs="Arial"/>
          <w:bCs/>
          <w:iCs/>
          <w:sz w:val="28"/>
          <w:szCs w:val="28"/>
        </w:rPr>
        <w:t xml:space="preserve"> the Commercial Court, which duly happened 3 years later.</w:t>
      </w:r>
      <w:r w:rsidR="002D2089" w:rsidRPr="00F63162">
        <w:rPr>
          <w:rStyle w:val="FootnoteReference"/>
          <w:rFonts w:ascii="Muli" w:hAnsi="Muli" w:cs="Arial"/>
          <w:bCs/>
          <w:iCs/>
          <w:sz w:val="28"/>
          <w:szCs w:val="28"/>
        </w:rPr>
        <w:footnoteReference w:id="2"/>
      </w:r>
      <w:r w:rsidR="002D2089" w:rsidRPr="00F63162">
        <w:rPr>
          <w:rFonts w:ascii="Muli" w:hAnsi="Muli" w:cs="Arial"/>
          <w:bCs/>
          <w:iCs/>
          <w:sz w:val="28"/>
          <w:szCs w:val="28"/>
        </w:rPr>
        <w:t xml:space="preserve"> </w:t>
      </w:r>
      <w:r w:rsidRPr="00F63162">
        <w:rPr>
          <w:rFonts w:ascii="Muli" w:hAnsi="Muli" w:cs="Arial"/>
          <w:bCs/>
          <w:iCs/>
          <w:sz w:val="28"/>
          <w:szCs w:val="28"/>
        </w:rPr>
        <w:t xml:space="preserve"> </w:t>
      </w:r>
    </w:p>
    <w:p w14:paraId="13909935" w14:textId="25E7CEDD" w:rsidR="00AA3E15" w:rsidRPr="00F63162" w:rsidRDefault="00AA3E15" w:rsidP="00B04F5E">
      <w:pPr>
        <w:pStyle w:val="ListParagraph"/>
        <w:numPr>
          <w:ilvl w:val="0"/>
          <w:numId w:val="2"/>
        </w:numPr>
        <w:spacing w:line="480" w:lineRule="auto"/>
        <w:jc w:val="both"/>
        <w:rPr>
          <w:rFonts w:ascii="Muli" w:hAnsi="Muli" w:cs="Arial"/>
          <w:sz w:val="28"/>
          <w:szCs w:val="28"/>
        </w:rPr>
      </w:pPr>
      <w:r w:rsidRPr="00F63162">
        <w:rPr>
          <w:rFonts w:ascii="Muli" w:hAnsi="Muli" w:cs="Arial"/>
          <w:bCs/>
          <w:iCs/>
          <w:sz w:val="28"/>
          <w:szCs w:val="28"/>
        </w:rPr>
        <w:t>A very brief word on the Commercial Court in London.</w:t>
      </w:r>
      <w:r w:rsidRPr="00F63162">
        <w:rPr>
          <w:rStyle w:val="FootnoteReference"/>
          <w:rFonts w:ascii="Muli" w:hAnsi="Muli" w:cs="Arial"/>
          <w:iCs/>
          <w:sz w:val="28"/>
          <w:szCs w:val="28"/>
        </w:rPr>
        <w:footnoteReference w:id="3"/>
      </w:r>
      <w:r w:rsidR="0011618D" w:rsidRPr="00F63162">
        <w:rPr>
          <w:rFonts w:ascii="Muli" w:hAnsi="Muli" w:cs="Arial"/>
          <w:iCs/>
          <w:sz w:val="28"/>
          <w:szCs w:val="28"/>
        </w:rPr>
        <w:t xml:space="preserve"> </w:t>
      </w:r>
      <w:r w:rsidRPr="00F63162">
        <w:rPr>
          <w:rFonts w:ascii="Muli" w:hAnsi="Muli" w:cs="Arial"/>
          <w:bCs/>
          <w:iCs/>
          <w:sz w:val="28"/>
          <w:szCs w:val="28"/>
        </w:rPr>
        <w:t>In 201</w:t>
      </w:r>
      <w:r w:rsidR="00973AEB" w:rsidRPr="00F63162">
        <w:rPr>
          <w:rFonts w:ascii="Muli" w:hAnsi="Muli" w:cs="Arial"/>
          <w:bCs/>
          <w:iCs/>
          <w:sz w:val="28"/>
          <w:szCs w:val="28"/>
        </w:rPr>
        <w:t>9</w:t>
      </w:r>
      <w:r w:rsidRPr="00F63162">
        <w:rPr>
          <w:rFonts w:ascii="Muli" w:hAnsi="Muli" w:cs="Arial"/>
          <w:bCs/>
          <w:iCs/>
          <w:sz w:val="28"/>
          <w:szCs w:val="28"/>
        </w:rPr>
        <w:t>, 1,</w:t>
      </w:r>
      <w:r w:rsidR="00973AEB" w:rsidRPr="00F63162">
        <w:rPr>
          <w:rFonts w:ascii="Muli" w:hAnsi="Muli" w:cs="Arial"/>
          <w:bCs/>
          <w:iCs/>
          <w:sz w:val="28"/>
          <w:szCs w:val="28"/>
        </w:rPr>
        <w:t>056</w:t>
      </w:r>
      <w:r w:rsidRPr="00F63162">
        <w:rPr>
          <w:rFonts w:ascii="Muli" w:hAnsi="Muli" w:cs="Arial"/>
          <w:bCs/>
          <w:iCs/>
          <w:sz w:val="28"/>
          <w:szCs w:val="28"/>
        </w:rPr>
        <w:t xml:space="preserve"> cases were issued in the Admiralty and Commercial Court.  The international flavour is readily </w:t>
      </w:r>
      <w:r w:rsidRPr="00F63162">
        <w:rPr>
          <w:rFonts w:ascii="Muli" w:hAnsi="Muli" w:cs="Arial"/>
          <w:bCs/>
          <w:iCs/>
          <w:sz w:val="28"/>
          <w:szCs w:val="28"/>
        </w:rPr>
        <w:lastRenderedPageBreak/>
        <w:t>apparent</w:t>
      </w:r>
      <w:r w:rsidR="00DC1638" w:rsidRPr="00F63162">
        <w:rPr>
          <w:rFonts w:ascii="Muli" w:hAnsi="Muli" w:cs="Arial"/>
          <w:bCs/>
          <w:iCs/>
          <w:sz w:val="28"/>
          <w:szCs w:val="28"/>
        </w:rPr>
        <w:t>: in 2019, 77% of cases in the Commercial Court were international in nature.</w:t>
      </w:r>
      <w:r w:rsidRPr="00F63162">
        <w:rPr>
          <w:rStyle w:val="FootnoteReference"/>
          <w:rFonts w:ascii="Muli" w:hAnsi="Muli" w:cs="Arial"/>
          <w:bCs/>
          <w:iCs/>
          <w:sz w:val="28"/>
          <w:szCs w:val="28"/>
        </w:rPr>
        <w:footnoteReference w:id="4"/>
      </w:r>
    </w:p>
    <w:p w14:paraId="0DD9D733" w14:textId="3CF27BCD" w:rsidR="00AC4A05" w:rsidRPr="00F63162" w:rsidRDefault="00805F57" w:rsidP="00805F57">
      <w:pPr>
        <w:pStyle w:val="ListParagraph"/>
        <w:numPr>
          <w:ilvl w:val="0"/>
          <w:numId w:val="2"/>
        </w:numPr>
        <w:spacing w:line="480" w:lineRule="auto"/>
        <w:jc w:val="both"/>
        <w:rPr>
          <w:rFonts w:ascii="Muli" w:hAnsi="Muli" w:cs="Arial"/>
          <w:sz w:val="28"/>
          <w:szCs w:val="28"/>
        </w:rPr>
      </w:pPr>
      <w:r w:rsidRPr="00F63162">
        <w:rPr>
          <w:rFonts w:ascii="Muli" w:hAnsi="Muli" w:cs="Arial"/>
          <w:bCs/>
          <w:iCs/>
          <w:sz w:val="28"/>
          <w:szCs w:val="28"/>
        </w:rPr>
        <w:t xml:space="preserve">  Commercial Courts are not a new phenomenon.  Some date back centuries.</w:t>
      </w:r>
      <w:r w:rsidRPr="00F63162">
        <w:rPr>
          <w:rStyle w:val="FootnoteReference"/>
          <w:rFonts w:ascii="Muli" w:hAnsi="Muli" w:cs="Arial"/>
          <w:bCs/>
          <w:iCs/>
          <w:sz w:val="28"/>
          <w:szCs w:val="28"/>
        </w:rPr>
        <w:footnoteReference w:id="5"/>
      </w:r>
      <w:r w:rsidRPr="00F63162">
        <w:rPr>
          <w:rFonts w:ascii="Muli" w:hAnsi="Muli" w:cs="Arial"/>
          <w:bCs/>
          <w:iCs/>
          <w:sz w:val="28"/>
          <w:szCs w:val="28"/>
        </w:rPr>
        <w:t xml:space="preserve">  This is unsurprising.  </w:t>
      </w:r>
      <w:r w:rsidR="00AC4A05" w:rsidRPr="00F63162">
        <w:rPr>
          <w:rFonts w:ascii="Muli" w:hAnsi="Muli" w:cs="Arial"/>
          <w:sz w:val="28"/>
          <w:szCs w:val="28"/>
        </w:rPr>
        <w:t xml:space="preserve">It is difficult to conceive of international trade without law – and law requires mechanisms for dispute resolution.  </w:t>
      </w:r>
      <w:r w:rsidR="00F57316" w:rsidRPr="00F63162">
        <w:rPr>
          <w:rFonts w:ascii="Muli" w:hAnsi="Muli" w:cs="Arial"/>
          <w:sz w:val="28"/>
          <w:szCs w:val="28"/>
        </w:rPr>
        <w:t xml:space="preserve">In Peter </w:t>
      </w:r>
      <w:proofErr w:type="spellStart"/>
      <w:r w:rsidR="00F57316" w:rsidRPr="00F63162">
        <w:rPr>
          <w:rFonts w:ascii="Muli" w:hAnsi="Muli" w:cs="Arial"/>
          <w:sz w:val="28"/>
          <w:szCs w:val="28"/>
        </w:rPr>
        <w:t>Frankopan’s</w:t>
      </w:r>
      <w:proofErr w:type="spellEnd"/>
      <w:r w:rsidR="00F57316" w:rsidRPr="00F63162">
        <w:rPr>
          <w:rFonts w:ascii="Muli" w:hAnsi="Muli" w:cs="Arial"/>
          <w:sz w:val="28"/>
          <w:szCs w:val="28"/>
        </w:rPr>
        <w:t xml:space="preserve"> </w:t>
      </w:r>
      <w:r w:rsidR="00F16CEF" w:rsidRPr="00F63162">
        <w:rPr>
          <w:rFonts w:ascii="Muli" w:hAnsi="Muli" w:cs="Arial"/>
          <w:i/>
          <w:sz w:val="28"/>
          <w:szCs w:val="28"/>
        </w:rPr>
        <w:t>magnum opus, The Silk Roads</w:t>
      </w:r>
      <w:r w:rsidR="00F16CEF" w:rsidRPr="00F63162">
        <w:rPr>
          <w:rFonts w:ascii="Muli" w:hAnsi="Muli" w:cs="Arial"/>
          <w:sz w:val="28"/>
          <w:szCs w:val="28"/>
        </w:rPr>
        <w:t>, there is a striking reference to the encouragement of commerce between Europe and the East in the 14</w:t>
      </w:r>
      <w:r w:rsidR="00F16CEF" w:rsidRPr="00F63162">
        <w:rPr>
          <w:rFonts w:ascii="Muli" w:hAnsi="Muli" w:cs="Arial"/>
          <w:sz w:val="28"/>
          <w:szCs w:val="28"/>
          <w:vertAlign w:val="superscript"/>
        </w:rPr>
        <w:t>th</w:t>
      </w:r>
      <w:r w:rsidR="00F16CEF" w:rsidRPr="00F63162">
        <w:rPr>
          <w:rFonts w:ascii="Muli" w:hAnsi="Muli" w:cs="Arial"/>
          <w:sz w:val="28"/>
          <w:szCs w:val="28"/>
        </w:rPr>
        <w:t xml:space="preserve"> century, through what is described as </w:t>
      </w:r>
      <w:r w:rsidRPr="00F63162">
        <w:rPr>
          <w:rFonts w:ascii="Muli" w:hAnsi="Muli" w:cs="Arial"/>
          <w:sz w:val="28"/>
          <w:szCs w:val="28"/>
        </w:rPr>
        <w:t>the fierce protection of the rule of law in commercial matters.</w:t>
      </w:r>
      <w:r w:rsidRPr="00F63162">
        <w:rPr>
          <w:rStyle w:val="FootnoteReference"/>
          <w:rFonts w:ascii="Muli" w:hAnsi="Muli" w:cs="Arial"/>
          <w:sz w:val="28"/>
          <w:szCs w:val="28"/>
        </w:rPr>
        <w:footnoteReference w:id="6"/>
      </w:r>
    </w:p>
    <w:p w14:paraId="3D8443C9" w14:textId="3B6F3FB5" w:rsidR="00D371D0" w:rsidRPr="00F63162" w:rsidRDefault="00D371D0" w:rsidP="00805F57">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Nonetheless the modern expansion of commercial courts internationally is noteworthy</w:t>
      </w:r>
      <w:r w:rsidRPr="00F63162">
        <w:rPr>
          <w:rStyle w:val="FootnoteReference"/>
          <w:rFonts w:ascii="Muli" w:hAnsi="Muli" w:cs="Arial"/>
          <w:sz w:val="28"/>
          <w:szCs w:val="28"/>
        </w:rPr>
        <w:footnoteReference w:id="7"/>
      </w:r>
      <w:r w:rsidRPr="00F63162">
        <w:rPr>
          <w:rFonts w:ascii="Muli" w:hAnsi="Muli" w:cs="Arial"/>
          <w:sz w:val="28"/>
          <w:szCs w:val="28"/>
        </w:rPr>
        <w:t>, reflecting the role of commercial courts in supporting global trade.  The DIFC Court</w:t>
      </w:r>
      <w:r w:rsidR="00000882" w:rsidRPr="00F63162">
        <w:rPr>
          <w:rFonts w:ascii="Muli" w:hAnsi="Muli" w:cs="Arial"/>
          <w:sz w:val="28"/>
          <w:szCs w:val="28"/>
        </w:rPr>
        <w:t>s, currently showing strong growth,</w:t>
      </w:r>
      <w:r w:rsidRPr="00F63162">
        <w:rPr>
          <w:rFonts w:ascii="Muli" w:hAnsi="Muli" w:cs="Arial"/>
          <w:sz w:val="28"/>
          <w:szCs w:val="28"/>
        </w:rPr>
        <w:t xml:space="preserve"> present an important illustrative example; the first common law court carved out of a civil law nation; the early adoption of </w:t>
      </w:r>
      <w:r w:rsidRPr="00F63162">
        <w:rPr>
          <w:rFonts w:ascii="Muli" w:hAnsi="Muli" w:cs="Arial"/>
          <w:sz w:val="28"/>
          <w:szCs w:val="28"/>
        </w:rPr>
        <w:lastRenderedPageBreak/>
        <w:t xml:space="preserve">technology and its innovative work, synthesising </w:t>
      </w:r>
      <w:proofErr w:type="gramStart"/>
      <w:r w:rsidRPr="00F63162">
        <w:rPr>
          <w:rFonts w:ascii="Muli" w:hAnsi="Muli" w:cs="Arial"/>
          <w:sz w:val="28"/>
          <w:szCs w:val="28"/>
        </w:rPr>
        <w:t>litigation</w:t>
      </w:r>
      <w:proofErr w:type="gramEnd"/>
      <w:r w:rsidRPr="00F63162">
        <w:rPr>
          <w:rFonts w:ascii="Muli" w:hAnsi="Muli" w:cs="Arial"/>
          <w:sz w:val="28"/>
          <w:szCs w:val="28"/>
        </w:rPr>
        <w:t xml:space="preserve"> and arbitration. </w:t>
      </w:r>
    </w:p>
    <w:p w14:paraId="115FF4E5" w14:textId="2B3E2D5B" w:rsidR="00BE5915" w:rsidRPr="00F63162" w:rsidRDefault="00973AEB" w:rsidP="00001097">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 xml:space="preserve">Against this background, my answer to the question posed is “neither”.  International commercial courts - </w:t>
      </w:r>
      <w:r w:rsidR="00EB6CB8" w:rsidRPr="00F63162">
        <w:rPr>
          <w:rFonts w:ascii="Muli" w:hAnsi="Muli" w:cs="Arial"/>
          <w:sz w:val="28"/>
          <w:szCs w:val="28"/>
        </w:rPr>
        <w:t>by which I understand commercial courts dealing with international business – are neither the latest trend nor are they the next frontier.</w:t>
      </w:r>
      <w:r w:rsidR="00EB6CB8" w:rsidRPr="00F63162">
        <w:rPr>
          <w:rFonts w:ascii="Muli" w:hAnsi="Muli" w:cs="Arial"/>
          <w:i/>
          <w:iCs/>
          <w:sz w:val="28"/>
          <w:szCs w:val="28"/>
        </w:rPr>
        <w:t xml:space="preserve"> </w:t>
      </w:r>
      <w:r w:rsidRPr="00F63162">
        <w:rPr>
          <w:rFonts w:ascii="Muli" w:hAnsi="Muli" w:cs="Arial"/>
          <w:sz w:val="28"/>
          <w:szCs w:val="28"/>
        </w:rPr>
        <w:t xml:space="preserve"> </w:t>
      </w:r>
      <w:r w:rsidR="00CE4AB1" w:rsidRPr="00F63162">
        <w:rPr>
          <w:rFonts w:ascii="Muli" w:hAnsi="Muli" w:cs="Arial"/>
          <w:sz w:val="28"/>
          <w:szCs w:val="28"/>
        </w:rPr>
        <w:t>Instead, they are a central part of the international dispute resolution architecture.</w:t>
      </w:r>
    </w:p>
    <w:p w14:paraId="2942AE37" w14:textId="75789D1F" w:rsidR="00CE1216" w:rsidRPr="00F63162" w:rsidRDefault="00D770FA" w:rsidP="00805F57">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 xml:space="preserve">Various </w:t>
      </w:r>
      <w:r w:rsidR="00DE6E97" w:rsidRPr="00F63162">
        <w:rPr>
          <w:rFonts w:ascii="Muli" w:hAnsi="Muli" w:cs="Arial"/>
          <w:sz w:val="28"/>
          <w:szCs w:val="28"/>
        </w:rPr>
        <w:t>hallmarks of Commercial Courts</w:t>
      </w:r>
      <w:r w:rsidR="00FA507D" w:rsidRPr="00F63162">
        <w:rPr>
          <w:rFonts w:ascii="Muli" w:hAnsi="Muli" w:cs="Arial"/>
          <w:sz w:val="28"/>
          <w:szCs w:val="28"/>
        </w:rPr>
        <w:t xml:space="preserve"> may helpfully be highlighted:</w:t>
      </w:r>
      <w:r w:rsidR="00182496" w:rsidRPr="00F63162">
        <w:rPr>
          <w:rStyle w:val="FootnoteReference"/>
          <w:rFonts w:ascii="Muli" w:hAnsi="Muli" w:cs="Arial"/>
          <w:sz w:val="28"/>
          <w:szCs w:val="28"/>
        </w:rPr>
        <w:footnoteReference w:id="8"/>
      </w:r>
      <w:r w:rsidRPr="00F63162">
        <w:rPr>
          <w:rFonts w:ascii="Muli" w:hAnsi="Muli" w:cs="Arial"/>
          <w:sz w:val="28"/>
          <w:szCs w:val="28"/>
        </w:rPr>
        <w:t>:</w:t>
      </w:r>
    </w:p>
    <w:p w14:paraId="7E223038" w14:textId="13B1124B" w:rsidR="00BE5915" w:rsidRPr="00F63162" w:rsidRDefault="00BC75D0" w:rsidP="00732368">
      <w:pPr>
        <w:pStyle w:val="ListParagraph"/>
        <w:numPr>
          <w:ilvl w:val="0"/>
          <w:numId w:val="3"/>
        </w:numPr>
        <w:spacing w:line="480" w:lineRule="auto"/>
        <w:jc w:val="both"/>
        <w:rPr>
          <w:rFonts w:ascii="Muli" w:hAnsi="Muli" w:cs="Arial"/>
          <w:sz w:val="28"/>
          <w:szCs w:val="28"/>
        </w:rPr>
      </w:pPr>
      <w:r w:rsidRPr="00F63162">
        <w:rPr>
          <w:rFonts w:ascii="Muli" w:hAnsi="Muli" w:cs="Arial"/>
          <w:sz w:val="28"/>
          <w:szCs w:val="28"/>
        </w:rPr>
        <w:t xml:space="preserve">Impartiality and </w:t>
      </w:r>
      <w:proofErr w:type="gramStart"/>
      <w:r w:rsidRPr="00F63162">
        <w:rPr>
          <w:rFonts w:ascii="Muli" w:hAnsi="Muli" w:cs="Arial"/>
          <w:sz w:val="28"/>
          <w:szCs w:val="28"/>
        </w:rPr>
        <w:t>independence;</w:t>
      </w:r>
      <w:proofErr w:type="gramEnd"/>
    </w:p>
    <w:p w14:paraId="7EA5F82D" w14:textId="16C49DF1" w:rsidR="00BC75D0" w:rsidRPr="00F63162" w:rsidRDefault="00BC75D0" w:rsidP="00732368">
      <w:pPr>
        <w:pStyle w:val="ListParagraph"/>
        <w:numPr>
          <w:ilvl w:val="0"/>
          <w:numId w:val="3"/>
        </w:numPr>
        <w:spacing w:line="480" w:lineRule="auto"/>
        <w:jc w:val="both"/>
        <w:rPr>
          <w:rFonts w:ascii="Muli" w:hAnsi="Muli" w:cs="Arial"/>
          <w:sz w:val="28"/>
          <w:szCs w:val="28"/>
        </w:rPr>
      </w:pPr>
      <w:r w:rsidRPr="00F63162">
        <w:rPr>
          <w:rFonts w:ascii="Muli" w:hAnsi="Muli" w:cs="Arial"/>
          <w:sz w:val="28"/>
          <w:szCs w:val="28"/>
        </w:rPr>
        <w:t xml:space="preserve">Purpose and </w:t>
      </w:r>
      <w:proofErr w:type="gramStart"/>
      <w:r w:rsidRPr="00F63162">
        <w:rPr>
          <w:rFonts w:ascii="Muli" w:hAnsi="Muli" w:cs="Arial"/>
          <w:sz w:val="28"/>
          <w:szCs w:val="28"/>
        </w:rPr>
        <w:t>ethos;</w:t>
      </w:r>
      <w:proofErr w:type="gramEnd"/>
    </w:p>
    <w:p w14:paraId="00A0D60C" w14:textId="486C5281" w:rsidR="00732368" w:rsidRPr="00F63162" w:rsidRDefault="00732368" w:rsidP="00732368">
      <w:pPr>
        <w:pStyle w:val="ListParagraph"/>
        <w:numPr>
          <w:ilvl w:val="0"/>
          <w:numId w:val="3"/>
        </w:numPr>
        <w:spacing w:line="480" w:lineRule="auto"/>
        <w:jc w:val="both"/>
        <w:rPr>
          <w:rFonts w:ascii="Muli" w:hAnsi="Muli" w:cs="Arial"/>
          <w:sz w:val="28"/>
          <w:szCs w:val="28"/>
        </w:rPr>
      </w:pPr>
      <w:proofErr w:type="gramStart"/>
      <w:r w:rsidRPr="00F63162">
        <w:rPr>
          <w:rFonts w:ascii="Muli" w:hAnsi="Muli" w:cs="Arial"/>
          <w:sz w:val="28"/>
          <w:szCs w:val="28"/>
        </w:rPr>
        <w:t>Expertise;</w:t>
      </w:r>
      <w:proofErr w:type="gramEnd"/>
    </w:p>
    <w:p w14:paraId="7EFDF07A" w14:textId="77777777" w:rsidR="00732368" w:rsidRPr="00F63162" w:rsidRDefault="00732368" w:rsidP="00732368">
      <w:pPr>
        <w:pStyle w:val="ListParagraph"/>
        <w:numPr>
          <w:ilvl w:val="0"/>
          <w:numId w:val="3"/>
        </w:numPr>
        <w:spacing w:line="480" w:lineRule="auto"/>
        <w:jc w:val="both"/>
        <w:rPr>
          <w:rFonts w:ascii="Muli" w:hAnsi="Muli" w:cs="Arial"/>
          <w:sz w:val="28"/>
          <w:szCs w:val="28"/>
        </w:rPr>
      </w:pPr>
      <w:r w:rsidRPr="00F63162">
        <w:rPr>
          <w:rFonts w:ascii="Muli" w:hAnsi="Muli" w:cs="Arial"/>
          <w:sz w:val="28"/>
          <w:szCs w:val="28"/>
        </w:rPr>
        <w:t xml:space="preserve">Advancing the Rule of </w:t>
      </w:r>
      <w:proofErr w:type="gramStart"/>
      <w:r w:rsidRPr="00F63162">
        <w:rPr>
          <w:rFonts w:ascii="Muli" w:hAnsi="Muli" w:cs="Arial"/>
          <w:sz w:val="28"/>
          <w:szCs w:val="28"/>
        </w:rPr>
        <w:t>Law;</w:t>
      </w:r>
      <w:proofErr w:type="gramEnd"/>
    </w:p>
    <w:p w14:paraId="6EFF7BC8" w14:textId="77777777" w:rsidR="00732368" w:rsidRPr="00F63162" w:rsidRDefault="00732368" w:rsidP="00732368">
      <w:pPr>
        <w:pStyle w:val="ListParagraph"/>
        <w:numPr>
          <w:ilvl w:val="0"/>
          <w:numId w:val="3"/>
        </w:numPr>
        <w:spacing w:line="480" w:lineRule="auto"/>
        <w:jc w:val="both"/>
        <w:rPr>
          <w:rFonts w:ascii="Muli" w:hAnsi="Muli" w:cs="Arial"/>
          <w:sz w:val="28"/>
          <w:szCs w:val="28"/>
        </w:rPr>
      </w:pPr>
      <w:r w:rsidRPr="00F63162">
        <w:rPr>
          <w:rFonts w:ascii="Muli" w:hAnsi="Muli" w:cs="Arial"/>
          <w:sz w:val="28"/>
          <w:szCs w:val="28"/>
        </w:rPr>
        <w:t xml:space="preserve">Judicial </w:t>
      </w:r>
      <w:proofErr w:type="gramStart"/>
      <w:r w:rsidRPr="00F63162">
        <w:rPr>
          <w:rFonts w:ascii="Muli" w:hAnsi="Muli" w:cs="Arial"/>
          <w:sz w:val="28"/>
          <w:szCs w:val="28"/>
        </w:rPr>
        <w:t>innovation;</w:t>
      </w:r>
      <w:proofErr w:type="gramEnd"/>
    </w:p>
    <w:p w14:paraId="5A3C88D6" w14:textId="77777777" w:rsidR="00732368" w:rsidRPr="00F63162" w:rsidRDefault="00732368" w:rsidP="00732368">
      <w:pPr>
        <w:pStyle w:val="ListParagraph"/>
        <w:numPr>
          <w:ilvl w:val="0"/>
          <w:numId w:val="3"/>
        </w:numPr>
        <w:spacing w:line="480" w:lineRule="auto"/>
        <w:jc w:val="both"/>
        <w:rPr>
          <w:rFonts w:ascii="Muli" w:hAnsi="Muli" w:cs="Arial"/>
          <w:sz w:val="28"/>
          <w:szCs w:val="28"/>
        </w:rPr>
      </w:pPr>
      <w:r w:rsidRPr="00F63162">
        <w:rPr>
          <w:rFonts w:ascii="Muli" w:hAnsi="Muli" w:cs="Arial"/>
          <w:sz w:val="28"/>
          <w:szCs w:val="28"/>
        </w:rPr>
        <w:t xml:space="preserve">Co-existence with other forms of dispute </w:t>
      </w:r>
      <w:proofErr w:type="gramStart"/>
      <w:r w:rsidRPr="00F63162">
        <w:rPr>
          <w:rFonts w:ascii="Muli" w:hAnsi="Muli" w:cs="Arial"/>
          <w:sz w:val="28"/>
          <w:szCs w:val="28"/>
        </w:rPr>
        <w:t>resolution;</w:t>
      </w:r>
      <w:proofErr w:type="gramEnd"/>
    </w:p>
    <w:p w14:paraId="5F5A6A35" w14:textId="198F900D" w:rsidR="00732368" w:rsidRPr="00F63162" w:rsidRDefault="00732368" w:rsidP="00732368">
      <w:pPr>
        <w:pStyle w:val="ListParagraph"/>
        <w:numPr>
          <w:ilvl w:val="0"/>
          <w:numId w:val="3"/>
        </w:numPr>
        <w:spacing w:line="480" w:lineRule="auto"/>
        <w:jc w:val="both"/>
        <w:rPr>
          <w:rFonts w:ascii="Muli" w:hAnsi="Muli" w:cs="Arial"/>
          <w:sz w:val="28"/>
          <w:szCs w:val="28"/>
        </w:rPr>
      </w:pPr>
      <w:r w:rsidRPr="00F63162">
        <w:rPr>
          <w:rFonts w:ascii="Muli" w:hAnsi="Muli" w:cs="Arial"/>
          <w:sz w:val="28"/>
          <w:szCs w:val="28"/>
        </w:rPr>
        <w:t>Cooperation with other commercial courts internationally</w:t>
      </w:r>
      <w:r w:rsidR="00FA507D" w:rsidRPr="00F63162">
        <w:rPr>
          <w:rFonts w:ascii="Muli" w:hAnsi="Muli" w:cs="Arial"/>
          <w:sz w:val="28"/>
          <w:szCs w:val="28"/>
        </w:rPr>
        <w:t xml:space="preserve">, notably under the </w:t>
      </w:r>
      <w:proofErr w:type="spellStart"/>
      <w:r w:rsidR="00FA507D" w:rsidRPr="00F63162">
        <w:rPr>
          <w:rFonts w:ascii="Muli" w:hAnsi="Muli" w:cs="Arial"/>
          <w:sz w:val="28"/>
          <w:szCs w:val="28"/>
        </w:rPr>
        <w:t>SIFoCC</w:t>
      </w:r>
      <w:proofErr w:type="spellEnd"/>
      <w:r w:rsidR="00FA507D" w:rsidRPr="00F63162">
        <w:rPr>
          <w:rStyle w:val="FootnoteReference"/>
          <w:rFonts w:ascii="Muli" w:hAnsi="Muli" w:cs="Arial"/>
          <w:sz w:val="28"/>
          <w:szCs w:val="28"/>
        </w:rPr>
        <w:footnoteReference w:id="9"/>
      </w:r>
      <w:r w:rsidR="00FA507D" w:rsidRPr="00F63162">
        <w:rPr>
          <w:rFonts w:ascii="Muli" w:hAnsi="Muli" w:cs="Arial"/>
          <w:sz w:val="28"/>
          <w:szCs w:val="28"/>
        </w:rPr>
        <w:t xml:space="preserve"> umbrella</w:t>
      </w:r>
      <w:r w:rsidRPr="00F63162">
        <w:rPr>
          <w:rFonts w:ascii="Muli" w:hAnsi="Muli" w:cs="Arial"/>
          <w:sz w:val="28"/>
          <w:szCs w:val="28"/>
        </w:rPr>
        <w:t>.</w:t>
      </w:r>
    </w:p>
    <w:p w14:paraId="6D671EB8" w14:textId="1D642274" w:rsidR="00BC75D0" w:rsidRPr="00F63162" w:rsidRDefault="00BC75D0" w:rsidP="00BC75D0">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lastRenderedPageBreak/>
        <w:t>(I) Impartiality and independence:</w:t>
      </w:r>
      <w:r w:rsidRPr="00F63162">
        <w:rPr>
          <w:rFonts w:ascii="Muli" w:hAnsi="Muli" w:cs="Arial"/>
          <w:sz w:val="28"/>
          <w:szCs w:val="28"/>
        </w:rPr>
        <w:t xml:space="preserve">  Transcending all other requirements</w:t>
      </w:r>
      <w:r w:rsidR="00860B0A" w:rsidRPr="00F63162">
        <w:rPr>
          <w:rFonts w:ascii="Muli" w:hAnsi="Muli" w:cs="Arial"/>
          <w:sz w:val="28"/>
          <w:szCs w:val="28"/>
        </w:rPr>
        <w:t xml:space="preserve"> and reputationally crucial,</w:t>
      </w:r>
      <w:r w:rsidRPr="00F63162">
        <w:rPr>
          <w:rFonts w:ascii="Muli" w:hAnsi="Muli" w:cs="Arial"/>
          <w:sz w:val="28"/>
          <w:szCs w:val="28"/>
        </w:rPr>
        <w:t xml:space="preserve"> is the perception and reality that the Judiciary is impartial and independent; litigants from all corners of the globe are to be welcomed; there can be no home ground advantage.</w:t>
      </w:r>
      <w:r w:rsidRPr="00F63162">
        <w:rPr>
          <w:rStyle w:val="FootnoteReference"/>
          <w:rFonts w:ascii="Muli" w:hAnsi="Muli" w:cs="Arial"/>
          <w:sz w:val="28"/>
          <w:szCs w:val="28"/>
        </w:rPr>
        <w:footnoteReference w:id="10"/>
      </w:r>
      <w:r w:rsidRPr="00F63162">
        <w:rPr>
          <w:rFonts w:ascii="Muli" w:hAnsi="Muli" w:cs="Arial"/>
          <w:sz w:val="28"/>
          <w:szCs w:val="28"/>
        </w:rPr>
        <w:t xml:space="preserve">  </w:t>
      </w:r>
    </w:p>
    <w:p w14:paraId="2A3DE007" w14:textId="3968AB94" w:rsidR="00BC75D0" w:rsidRPr="00F63162" w:rsidRDefault="00BC75D0" w:rsidP="00BC75D0">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t xml:space="preserve">(II) Purpose and ethos: </w:t>
      </w:r>
      <w:r w:rsidRPr="00F63162">
        <w:rPr>
          <w:rFonts w:ascii="Muli" w:hAnsi="Muli" w:cs="Arial"/>
          <w:sz w:val="28"/>
          <w:szCs w:val="28"/>
        </w:rPr>
        <w:t>The purpose of commercial law is to facilitate commerce. Within the Court system, specialist commercial courts are best placed to foster a supportive ethos focused on the needs of users.  Thus, in practice, the English Commercial Court engaged in case management long before the term became fashionable more generally, so assisting in efficient, expeditious and effective dispute resolution</w:t>
      </w:r>
      <w:r w:rsidR="00F1508D" w:rsidRPr="00F63162">
        <w:rPr>
          <w:rFonts w:ascii="Muli" w:hAnsi="Muli" w:cs="Arial"/>
          <w:sz w:val="28"/>
          <w:szCs w:val="28"/>
        </w:rPr>
        <w:t xml:space="preserve">, thereby </w:t>
      </w:r>
      <w:proofErr w:type="gramStart"/>
      <w:r w:rsidR="00F1508D" w:rsidRPr="00F63162">
        <w:rPr>
          <w:rFonts w:ascii="Muli" w:hAnsi="Muli" w:cs="Arial"/>
          <w:sz w:val="28"/>
          <w:szCs w:val="28"/>
        </w:rPr>
        <w:t>promoting</w:t>
      </w:r>
      <w:proofErr w:type="gramEnd"/>
      <w:r w:rsidR="00F1508D" w:rsidRPr="00F63162">
        <w:rPr>
          <w:rFonts w:ascii="Muli" w:hAnsi="Muli" w:cs="Arial"/>
          <w:sz w:val="28"/>
          <w:szCs w:val="28"/>
        </w:rPr>
        <w:t xml:space="preserve"> and protecting international trade and investment.</w:t>
      </w:r>
      <w:r w:rsidRPr="00F63162">
        <w:rPr>
          <w:rFonts w:ascii="Muli" w:hAnsi="Muli" w:cs="Arial"/>
          <w:sz w:val="28"/>
          <w:szCs w:val="28"/>
        </w:rPr>
        <w:t xml:space="preserve">  </w:t>
      </w:r>
      <w:r w:rsidR="002E1222" w:rsidRPr="00F63162">
        <w:rPr>
          <w:rFonts w:ascii="Muli" w:hAnsi="Muli" w:cs="Arial"/>
          <w:sz w:val="28"/>
          <w:szCs w:val="28"/>
        </w:rPr>
        <w:t xml:space="preserve">It is no accident that </w:t>
      </w:r>
      <w:proofErr w:type="spellStart"/>
      <w:r w:rsidR="002E1222" w:rsidRPr="00F63162">
        <w:rPr>
          <w:rFonts w:ascii="Muli" w:hAnsi="Muli" w:cs="Arial"/>
          <w:sz w:val="28"/>
          <w:szCs w:val="28"/>
        </w:rPr>
        <w:t>SIFoCC</w:t>
      </w:r>
      <w:proofErr w:type="spellEnd"/>
      <w:r w:rsidR="002E1222" w:rsidRPr="00F63162">
        <w:rPr>
          <w:rFonts w:ascii="Muli" w:hAnsi="Muli" w:cs="Arial"/>
          <w:sz w:val="28"/>
          <w:szCs w:val="28"/>
        </w:rPr>
        <w:t xml:space="preserve"> has focused on case management and the essential accompanying mindset of problem-solving – not process.</w:t>
      </w:r>
    </w:p>
    <w:p w14:paraId="3FB118D8" w14:textId="4E85400D" w:rsidR="00AE23D1" w:rsidRPr="00F63162" w:rsidRDefault="00BC75D0" w:rsidP="00805F57">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t xml:space="preserve"> </w:t>
      </w:r>
      <w:r w:rsidR="00F80FD9" w:rsidRPr="00F63162">
        <w:rPr>
          <w:rFonts w:ascii="Muli" w:hAnsi="Muli" w:cs="Arial"/>
          <w:i/>
          <w:sz w:val="28"/>
          <w:szCs w:val="28"/>
        </w:rPr>
        <w:t>(II</w:t>
      </w:r>
      <w:r w:rsidRPr="00F63162">
        <w:rPr>
          <w:rFonts w:ascii="Muli" w:hAnsi="Muli" w:cs="Arial"/>
          <w:i/>
          <w:sz w:val="28"/>
          <w:szCs w:val="28"/>
        </w:rPr>
        <w:t>I</w:t>
      </w:r>
      <w:r w:rsidR="00F80FD9" w:rsidRPr="00F63162">
        <w:rPr>
          <w:rFonts w:ascii="Muli" w:hAnsi="Muli" w:cs="Arial"/>
          <w:i/>
          <w:sz w:val="28"/>
          <w:szCs w:val="28"/>
        </w:rPr>
        <w:t xml:space="preserve">) </w:t>
      </w:r>
      <w:r w:rsidR="008100A5" w:rsidRPr="00F63162">
        <w:rPr>
          <w:rFonts w:ascii="Muli" w:hAnsi="Muli" w:cs="Arial"/>
          <w:i/>
          <w:sz w:val="28"/>
          <w:szCs w:val="28"/>
        </w:rPr>
        <w:t>Expertise:</w:t>
      </w:r>
      <w:r w:rsidR="00AE23D1" w:rsidRPr="00F63162">
        <w:rPr>
          <w:rFonts w:ascii="Muli" w:hAnsi="Muli" w:cs="Arial"/>
          <w:sz w:val="28"/>
          <w:szCs w:val="28"/>
        </w:rPr>
        <w:t xml:space="preserve">  Judicial expertise is indispensable to the mix – and best concentrated in commercial courts.  </w:t>
      </w:r>
      <w:r w:rsidR="00AE23D1" w:rsidRPr="00F63162">
        <w:rPr>
          <w:rFonts w:ascii="Muli" w:hAnsi="Muli" w:cs="Arial"/>
          <w:sz w:val="28"/>
          <w:szCs w:val="28"/>
        </w:rPr>
        <w:lastRenderedPageBreak/>
        <w:t xml:space="preserve">International commerce makes two particular demands of the law, both features of our fortunate joint common law legacy: first, certainty, so that transactions can be entered into with confidence in the relevant legal framework; secondly, flexibility – so that the law adapts to changing commercial needs.  But to strike the right balance between </w:t>
      </w:r>
      <w:r w:rsidR="00AE23D1" w:rsidRPr="00F63162">
        <w:rPr>
          <w:rFonts w:ascii="Muli" w:hAnsi="Muli" w:cs="Arial"/>
          <w:i/>
          <w:sz w:val="28"/>
          <w:szCs w:val="28"/>
        </w:rPr>
        <w:t>certainty</w:t>
      </w:r>
      <w:r w:rsidR="00AE23D1" w:rsidRPr="00F63162">
        <w:rPr>
          <w:rFonts w:ascii="Muli" w:hAnsi="Muli" w:cs="Arial"/>
          <w:sz w:val="28"/>
          <w:szCs w:val="28"/>
        </w:rPr>
        <w:t xml:space="preserve"> and </w:t>
      </w:r>
      <w:r w:rsidR="00AE23D1" w:rsidRPr="00F63162">
        <w:rPr>
          <w:rFonts w:ascii="Muli" w:hAnsi="Muli" w:cs="Arial"/>
          <w:i/>
          <w:sz w:val="28"/>
          <w:szCs w:val="28"/>
        </w:rPr>
        <w:t>flexibility</w:t>
      </w:r>
      <w:r w:rsidR="00AE23D1" w:rsidRPr="00F63162">
        <w:rPr>
          <w:rFonts w:ascii="Muli" w:hAnsi="Muli" w:cs="Arial"/>
          <w:sz w:val="28"/>
          <w:szCs w:val="28"/>
        </w:rPr>
        <w:t>, calls for judicial expertise of a high order.  The concentration of such expertise in commercial courts is an obvious reason</w:t>
      </w:r>
      <w:r w:rsidR="00AC033F" w:rsidRPr="00F63162">
        <w:rPr>
          <w:rFonts w:ascii="Muli" w:hAnsi="Muli" w:cs="Arial"/>
          <w:sz w:val="28"/>
          <w:szCs w:val="28"/>
        </w:rPr>
        <w:t xml:space="preserve"> for their popularity internationally.</w:t>
      </w:r>
      <w:r w:rsidR="00AE23D1" w:rsidRPr="00F63162">
        <w:rPr>
          <w:rFonts w:ascii="Muli" w:hAnsi="Muli" w:cs="Arial"/>
          <w:sz w:val="28"/>
          <w:szCs w:val="28"/>
        </w:rPr>
        <w:t xml:space="preserve">  </w:t>
      </w:r>
    </w:p>
    <w:p w14:paraId="57918FC7" w14:textId="0DBFF477" w:rsidR="00AC033F" w:rsidRPr="00F63162" w:rsidRDefault="00AA3E15" w:rsidP="00805F57">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t xml:space="preserve"> </w:t>
      </w:r>
      <w:r w:rsidR="00F80FD9" w:rsidRPr="00F63162">
        <w:rPr>
          <w:rFonts w:ascii="Muli" w:hAnsi="Muli" w:cs="Arial"/>
          <w:i/>
          <w:sz w:val="28"/>
          <w:szCs w:val="28"/>
        </w:rPr>
        <w:t xml:space="preserve">(IV) </w:t>
      </w:r>
      <w:r w:rsidR="008100A5" w:rsidRPr="00F63162">
        <w:rPr>
          <w:rFonts w:ascii="Muli" w:hAnsi="Muli" w:cs="Arial"/>
          <w:i/>
          <w:sz w:val="28"/>
          <w:szCs w:val="28"/>
        </w:rPr>
        <w:t xml:space="preserve">Advancing the Rule of Law: </w:t>
      </w:r>
      <w:r w:rsidR="00601BE9" w:rsidRPr="00F63162">
        <w:rPr>
          <w:rFonts w:ascii="Muli" w:hAnsi="Muli" w:cs="Arial"/>
          <w:sz w:val="28"/>
          <w:szCs w:val="28"/>
        </w:rPr>
        <w:t xml:space="preserve">A commercial court which </w:t>
      </w:r>
      <w:r w:rsidR="00934A53" w:rsidRPr="00F63162">
        <w:rPr>
          <w:rFonts w:ascii="Muli" w:hAnsi="Muli" w:cs="Arial"/>
          <w:sz w:val="28"/>
          <w:szCs w:val="28"/>
        </w:rPr>
        <w:t>deals</w:t>
      </w:r>
      <w:r w:rsidR="00601BE9" w:rsidRPr="00F63162">
        <w:rPr>
          <w:rFonts w:ascii="Muli" w:hAnsi="Muli" w:cs="Arial"/>
          <w:sz w:val="28"/>
          <w:szCs w:val="28"/>
        </w:rPr>
        <w:t xml:space="preserve"> justly with foreign investors and traders on the one hand</w:t>
      </w:r>
      <w:r w:rsidR="00302876" w:rsidRPr="00F63162">
        <w:rPr>
          <w:rFonts w:ascii="Muli" w:hAnsi="Muli" w:cs="Arial"/>
          <w:sz w:val="28"/>
          <w:szCs w:val="28"/>
        </w:rPr>
        <w:t>,</w:t>
      </w:r>
      <w:r w:rsidR="00601BE9" w:rsidRPr="00F63162">
        <w:rPr>
          <w:rFonts w:ascii="Muli" w:hAnsi="Muli" w:cs="Arial"/>
          <w:sz w:val="28"/>
          <w:szCs w:val="28"/>
        </w:rPr>
        <w:t xml:space="preserve"> and a local governmental authority on the other</w:t>
      </w:r>
      <w:r w:rsidR="00302876" w:rsidRPr="00F63162">
        <w:rPr>
          <w:rFonts w:ascii="Muli" w:hAnsi="Muli" w:cs="Arial"/>
          <w:sz w:val="28"/>
          <w:szCs w:val="28"/>
        </w:rPr>
        <w:t>,</w:t>
      </w:r>
      <w:r w:rsidR="00601BE9" w:rsidRPr="00F63162">
        <w:rPr>
          <w:rFonts w:ascii="Muli" w:hAnsi="Muli" w:cs="Arial"/>
          <w:sz w:val="28"/>
          <w:szCs w:val="28"/>
        </w:rPr>
        <w:t xml:space="preserve"> makes a striking contribution to the Rule of Law</w:t>
      </w:r>
      <w:r w:rsidR="00AC235B" w:rsidRPr="00F63162">
        <w:rPr>
          <w:rFonts w:ascii="Muli" w:hAnsi="Muli" w:cs="Arial"/>
          <w:sz w:val="28"/>
          <w:szCs w:val="28"/>
        </w:rPr>
        <w:t xml:space="preserve"> internationally</w:t>
      </w:r>
      <w:r w:rsidR="00601BE9" w:rsidRPr="00F63162">
        <w:rPr>
          <w:rFonts w:ascii="Muli" w:hAnsi="Muli" w:cs="Arial"/>
          <w:sz w:val="28"/>
          <w:szCs w:val="28"/>
        </w:rPr>
        <w:t xml:space="preserve">.  </w:t>
      </w:r>
      <w:r w:rsidR="00302876" w:rsidRPr="00F63162">
        <w:rPr>
          <w:rFonts w:ascii="Muli" w:hAnsi="Muli" w:cs="Arial"/>
          <w:sz w:val="28"/>
          <w:szCs w:val="28"/>
        </w:rPr>
        <w:t>It is no coincidence that international agencies place importance</w:t>
      </w:r>
      <w:r w:rsidR="008100A5" w:rsidRPr="00F63162">
        <w:rPr>
          <w:rFonts w:ascii="Muli" w:hAnsi="Muli" w:cs="Arial"/>
          <w:sz w:val="28"/>
          <w:szCs w:val="28"/>
        </w:rPr>
        <w:t xml:space="preserve"> on the existence of commercial courts in recipient countries as a condition of advancing loans. </w:t>
      </w:r>
    </w:p>
    <w:p w14:paraId="69D748B0" w14:textId="2F309E81" w:rsidR="00D371D0" w:rsidRPr="00F63162" w:rsidRDefault="00F80FD9" w:rsidP="009439FF">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t xml:space="preserve">(V) </w:t>
      </w:r>
      <w:r w:rsidR="00732368" w:rsidRPr="00F63162">
        <w:rPr>
          <w:rFonts w:ascii="Muli" w:hAnsi="Muli" w:cs="Arial"/>
          <w:i/>
          <w:sz w:val="28"/>
          <w:szCs w:val="28"/>
        </w:rPr>
        <w:t xml:space="preserve">Judicial innovation: </w:t>
      </w:r>
      <w:r w:rsidR="00732368" w:rsidRPr="00F63162">
        <w:rPr>
          <w:rFonts w:ascii="Muli" w:hAnsi="Muli" w:cs="Arial"/>
          <w:sz w:val="28"/>
          <w:szCs w:val="28"/>
        </w:rPr>
        <w:t xml:space="preserve"> As specialist courts with a focus on user needs, commercial courts are well-placed to </w:t>
      </w:r>
      <w:r w:rsidR="00732368" w:rsidRPr="00F63162">
        <w:rPr>
          <w:rFonts w:ascii="Muli" w:hAnsi="Muli" w:cs="Arial"/>
          <w:sz w:val="28"/>
          <w:szCs w:val="28"/>
        </w:rPr>
        <w:lastRenderedPageBreak/>
        <w:t>lead in the area of judicial innovation.</w:t>
      </w:r>
      <w:r w:rsidR="00AC235B" w:rsidRPr="00F63162">
        <w:rPr>
          <w:rFonts w:ascii="Muli" w:hAnsi="Muli" w:cs="Arial"/>
          <w:sz w:val="28"/>
          <w:szCs w:val="28"/>
        </w:rPr>
        <w:t xml:space="preserve"> Two examples; one from London; one more general. </w:t>
      </w:r>
      <w:r w:rsidR="00D371D0" w:rsidRPr="00F63162">
        <w:rPr>
          <w:rFonts w:ascii="Muli" w:hAnsi="Muli" w:cs="Arial"/>
          <w:sz w:val="28"/>
          <w:szCs w:val="28"/>
        </w:rPr>
        <w:t xml:space="preserve">  London yields</w:t>
      </w:r>
      <w:r w:rsidR="00AC235B" w:rsidRPr="00F63162">
        <w:rPr>
          <w:rFonts w:ascii="Muli" w:hAnsi="Muli" w:cs="Arial"/>
          <w:sz w:val="28"/>
          <w:szCs w:val="28"/>
        </w:rPr>
        <w:t xml:space="preserve"> a recent</w:t>
      </w:r>
      <w:r w:rsidR="00D371D0" w:rsidRPr="00F63162">
        <w:rPr>
          <w:rFonts w:ascii="Muli" w:hAnsi="Muli" w:cs="Arial"/>
          <w:sz w:val="28"/>
          <w:szCs w:val="28"/>
        </w:rPr>
        <w:t xml:space="preserve"> Covid-responsive example under the Financial List Test Case Scheme, designed to help resolve market issues to which immediately relevant English law guidance is needed, without the need for a cause of action between the parties. </w:t>
      </w:r>
      <w:r w:rsidR="005B5C8F" w:rsidRPr="00F63162">
        <w:rPr>
          <w:rFonts w:ascii="Muli" w:hAnsi="Muli" w:cs="Arial"/>
          <w:sz w:val="28"/>
          <w:szCs w:val="28"/>
        </w:rPr>
        <w:t>Th</w:t>
      </w:r>
      <w:r w:rsidR="00AC235B" w:rsidRPr="00F63162">
        <w:rPr>
          <w:rFonts w:ascii="Muli" w:hAnsi="Muli" w:cs="Arial"/>
          <w:sz w:val="28"/>
          <w:szCs w:val="28"/>
        </w:rPr>
        <w:t>e case in question</w:t>
      </w:r>
      <w:r w:rsidR="005B5C8F" w:rsidRPr="00F63162">
        <w:rPr>
          <w:rFonts w:ascii="Muli" w:hAnsi="Muli" w:cs="Arial"/>
          <w:sz w:val="28"/>
          <w:szCs w:val="28"/>
        </w:rPr>
        <w:t xml:space="preserve"> related to the estimated 370,000 policyholders who suffered significant losses during the pandemic and whose insurance policies included a business interruption clause relating to disease and denial of access as a result of public authority closures or restrictions.  The test case was brought by the FCA against a group of insurers</w:t>
      </w:r>
      <w:r w:rsidR="005B5C8F" w:rsidRPr="00F63162">
        <w:rPr>
          <w:rStyle w:val="FootnoteReference"/>
          <w:rFonts w:ascii="Muli" w:hAnsi="Muli" w:cs="Arial"/>
          <w:sz w:val="28"/>
          <w:szCs w:val="28"/>
        </w:rPr>
        <w:footnoteReference w:id="11"/>
      </w:r>
      <w:r w:rsidR="005B5C8F" w:rsidRPr="00F63162">
        <w:rPr>
          <w:rFonts w:ascii="Muli" w:hAnsi="Muli" w:cs="Arial"/>
          <w:sz w:val="28"/>
          <w:szCs w:val="28"/>
        </w:rPr>
        <w:t>.  The matter was</w:t>
      </w:r>
      <w:r w:rsidR="00AC235B" w:rsidRPr="00F63162">
        <w:rPr>
          <w:rFonts w:ascii="Muli" w:hAnsi="Muli" w:cs="Arial"/>
          <w:sz w:val="28"/>
          <w:szCs w:val="28"/>
        </w:rPr>
        <w:t xml:space="preserve"> fast tracked</w:t>
      </w:r>
      <w:r w:rsidR="005B5C8F" w:rsidRPr="00F63162">
        <w:rPr>
          <w:rFonts w:ascii="Muli" w:hAnsi="Muli" w:cs="Arial"/>
          <w:sz w:val="28"/>
          <w:szCs w:val="28"/>
        </w:rPr>
        <w:t xml:space="preserve"> and has already been decided by the Supreme Court.</w:t>
      </w:r>
      <w:r w:rsidR="005456F8" w:rsidRPr="00F63162">
        <w:rPr>
          <w:rStyle w:val="FootnoteReference"/>
          <w:rFonts w:ascii="Muli" w:hAnsi="Muli" w:cs="Arial"/>
          <w:sz w:val="28"/>
          <w:szCs w:val="28"/>
        </w:rPr>
        <w:footnoteReference w:id="12"/>
      </w:r>
      <w:r w:rsidR="005B5C8F" w:rsidRPr="00F63162">
        <w:rPr>
          <w:rFonts w:ascii="Muli" w:hAnsi="Muli" w:cs="Arial"/>
          <w:sz w:val="28"/>
          <w:szCs w:val="28"/>
        </w:rPr>
        <w:t xml:space="preserve"> </w:t>
      </w:r>
    </w:p>
    <w:p w14:paraId="2BD461FD" w14:textId="71F1199B" w:rsidR="00AC235B" w:rsidRPr="00F63162" w:rsidRDefault="00DE6E97" w:rsidP="007527C7">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 xml:space="preserve">The second, more general, example relates to Commercial Courts embracing technology.  Justice in commercial cases has not gone on hold during the pandemic.  Commercial Court have readily adapted to </w:t>
      </w:r>
      <w:r w:rsidRPr="00F63162">
        <w:rPr>
          <w:rFonts w:ascii="Muli" w:hAnsi="Muli" w:cs="Arial"/>
          <w:sz w:val="28"/>
          <w:szCs w:val="28"/>
        </w:rPr>
        <w:lastRenderedPageBreak/>
        <w:t xml:space="preserve">“remote” or “virtual” hearings, using Zoom, Teams or whatever technology is available. This is a striking achievement, seamlessly adopted. </w:t>
      </w:r>
    </w:p>
    <w:p w14:paraId="3A71F071" w14:textId="1997E22E" w:rsidR="00732368" w:rsidRPr="00F63162" w:rsidRDefault="00F80FD9" w:rsidP="000E2F11">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t xml:space="preserve">(VI) </w:t>
      </w:r>
      <w:r w:rsidR="00732368" w:rsidRPr="00F63162">
        <w:rPr>
          <w:rFonts w:ascii="Muli" w:hAnsi="Muli" w:cs="Arial"/>
          <w:i/>
          <w:sz w:val="28"/>
          <w:szCs w:val="28"/>
        </w:rPr>
        <w:t>Co-existence with other forms of dispute resolution:</w:t>
      </w:r>
      <w:r w:rsidR="00732368" w:rsidRPr="00F63162">
        <w:rPr>
          <w:rFonts w:ascii="Muli" w:hAnsi="Muli" w:cs="Arial"/>
          <w:sz w:val="28"/>
          <w:szCs w:val="28"/>
        </w:rPr>
        <w:t xml:space="preserve"> As I have long argued</w:t>
      </w:r>
      <w:r w:rsidR="00732368" w:rsidRPr="00F63162">
        <w:rPr>
          <w:rStyle w:val="FootnoteReference"/>
          <w:rFonts w:ascii="Muli" w:hAnsi="Muli" w:cs="Arial"/>
          <w:sz w:val="28"/>
          <w:szCs w:val="28"/>
        </w:rPr>
        <w:footnoteReference w:id="13"/>
      </w:r>
      <w:r w:rsidR="00732368" w:rsidRPr="00F63162">
        <w:rPr>
          <w:rFonts w:ascii="Muli" w:hAnsi="Muli" w:cs="Arial"/>
          <w:sz w:val="28"/>
          <w:szCs w:val="28"/>
        </w:rPr>
        <w:t>, this is not a zero-sum game.  Commercial courts and arbitration are complementary; sensibly considered, they are not in competition.  Thu</w:t>
      </w:r>
      <w:r w:rsidRPr="00F63162">
        <w:rPr>
          <w:rFonts w:ascii="Muli" w:hAnsi="Muli" w:cs="Arial"/>
          <w:sz w:val="28"/>
          <w:szCs w:val="28"/>
        </w:rPr>
        <w:t>s, the existence of the Commercial Court in London – providing light touch supervision (maximum support minimum interference) boosts London arbitration; conversely, the dynamic London arbitration sector, emphasises the importance of the Commercial Court.  So too in Singapore; SICC is itself based (as I understand it) on just such co-existence</w:t>
      </w:r>
      <w:r w:rsidRPr="00F63162">
        <w:rPr>
          <w:rStyle w:val="FootnoteReference"/>
          <w:rFonts w:ascii="Muli" w:hAnsi="Muli" w:cs="Arial"/>
          <w:sz w:val="28"/>
          <w:szCs w:val="28"/>
        </w:rPr>
        <w:footnoteReference w:id="14"/>
      </w:r>
      <w:r w:rsidRPr="00F63162">
        <w:rPr>
          <w:rFonts w:ascii="Muli" w:hAnsi="Muli" w:cs="Arial"/>
          <w:sz w:val="28"/>
          <w:szCs w:val="28"/>
        </w:rPr>
        <w:t>. And what is true of arbitration is likewise true of mediation.</w:t>
      </w:r>
      <w:r w:rsidR="00732368" w:rsidRPr="00F63162">
        <w:rPr>
          <w:rFonts w:ascii="Muli" w:hAnsi="Muli" w:cs="Arial"/>
          <w:sz w:val="28"/>
          <w:szCs w:val="28"/>
        </w:rPr>
        <w:t xml:space="preserve"> </w:t>
      </w:r>
    </w:p>
    <w:p w14:paraId="40220268" w14:textId="52494616" w:rsidR="00A74EEE" w:rsidRPr="00F63162" w:rsidRDefault="00F80FD9" w:rsidP="00805F57">
      <w:pPr>
        <w:pStyle w:val="ListParagraph"/>
        <w:numPr>
          <w:ilvl w:val="0"/>
          <w:numId w:val="2"/>
        </w:numPr>
        <w:spacing w:line="480" w:lineRule="auto"/>
        <w:jc w:val="both"/>
        <w:rPr>
          <w:rFonts w:ascii="Muli" w:hAnsi="Muli" w:cs="Arial"/>
          <w:sz w:val="28"/>
          <w:szCs w:val="28"/>
        </w:rPr>
      </w:pPr>
      <w:r w:rsidRPr="00F63162">
        <w:rPr>
          <w:rFonts w:ascii="Muli" w:hAnsi="Muli" w:cs="Arial"/>
          <w:i/>
          <w:sz w:val="28"/>
          <w:szCs w:val="28"/>
        </w:rPr>
        <w:t xml:space="preserve">(VII) Cooperation between commercial courts internationally:  </w:t>
      </w:r>
      <w:r w:rsidRPr="00F63162">
        <w:rPr>
          <w:rFonts w:ascii="Muli" w:hAnsi="Muli" w:cs="Arial"/>
          <w:sz w:val="28"/>
          <w:szCs w:val="28"/>
        </w:rPr>
        <w:t>In</w:t>
      </w:r>
      <w:r w:rsidR="00302876" w:rsidRPr="00F63162">
        <w:rPr>
          <w:rFonts w:ascii="Muli" w:hAnsi="Muli" w:cs="Arial"/>
          <w:sz w:val="28"/>
          <w:szCs w:val="28"/>
        </w:rPr>
        <w:t>evitably,</w:t>
      </w:r>
      <w:r w:rsidRPr="00F63162">
        <w:rPr>
          <w:rFonts w:ascii="Muli" w:hAnsi="Muli" w:cs="Arial"/>
          <w:sz w:val="28"/>
          <w:szCs w:val="28"/>
        </w:rPr>
        <w:t xml:space="preserve"> the expansion of commercial </w:t>
      </w:r>
      <w:r w:rsidRPr="00F63162">
        <w:rPr>
          <w:rFonts w:ascii="Muli" w:hAnsi="Muli" w:cs="Arial"/>
          <w:sz w:val="28"/>
          <w:szCs w:val="28"/>
        </w:rPr>
        <w:lastRenderedPageBreak/>
        <w:t>courts will result in competition between them.  Such competition</w:t>
      </w:r>
      <w:r w:rsidR="00A74EEE" w:rsidRPr="00F63162">
        <w:rPr>
          <w:rFonts w:ascii="Muli" w:hAnsi="Muli" w:cs="Arial"/>
          <w:sz w:val="28"/>
          <w:szCs w:val="28"/>
        </w:rPr>
        <w:t xml:space="preserve"> need not,</w:t>
      </w:r>
      <w:r w:rsidRPr="00F63162">
        <w:rPr>
          <w:rFonts w:ascii="Muli" w:hAnsi="Muli" w:cs="Arial"/>
          <w:sz w:val="28"/>
          <w:szCs w:val="28"/>
        </w:rPr>
        <w:t xml:space="preserve"> however, </w:t>
      </w:r>
      <w:r w:rsidR="00A74EEE" w:rsidRPr="00F63162">
        <w:rPr>
          <w:rFonts w:ascii="Muli" w:hAnsi="Muli" w:cs="Arial"/>
          <w:sz w:val="28"/>
          <w:szCs w:val="28"/>
        </w:rPr>
        <w:t>prove</w:t>
      </w:r>
      <w:r w:rsidRPr="00F63162">
        <w:rPr>
          <w:rFonts w:ascii="Muli" w:hAnsi="Muli" w:cs="Arial"/>
          <w:sz w:val="28"/>
          <w:szCs w:val="28"/>
        </w:rPr>
        <w:t xml:space="preserve"> destructive.  Instead</w:t>
      </w:r>
      <w:r w:rsidR="00A74EEE" w:rsidRPr="00F63162">
        <w:rPr>
          <w:rFonts w:ascii="Muli" w:hAnsi="Muli" w:cs="Arial"/>
          <w:sz w:val="28"/>
          <w:szCs w:val="28"/>
        </w:rPr>
        <w:t xml:space="preserve">, the </w:t>
      </w:r>
      <w:proofErr w:type="spellStart"/>
      <w:r w:rsidR="00A74EEE" w:rsidRPr="00F63162">
        <w:rPr>
          <w:rFonts w:ascii="Muli" w:hAnsi="Muli" w:cs="Arial"/>
          <w:sz w:val="28"/>
          <w:szCs w:val="28"/>
        </w:rPr>
        <w:t>SIFoCC</w:t>
      </w:r>
      <w:proofErr w:type="spellEnd"/>
      <w:r w:rsidR="00A74EEE" w:rsidRPr="00F63162">
        <w:rPr>
          <w:rFonts w:ascii="Muli" w:hAnsi="Muli" w:cs="Arial"/>
          <w:sz w:val="28"/>
          <w:szCs w:val="28"/>
        </w:rPr>
        <w:t xml:space="preserve"> umbrella seeks to encourage such competition to stimulate innovation, permits the sharing of best practice and the promotion of the Rule of Law. As is the case of co-existence with arbitration,</w:t>
      </w:r>
      <w:r w:rsidR="00DE6E97" w:rsidRPr="00F63162">
        <w:rPr>
          <w:rFonts w:ascii="Muli" w:hAnsi="Muli" w:cs="Arial"/>
          <w:sz w:val="28"/>
          <w:szCs w:val="28"/>
        </w:rPr>
        <w:t xml:space="preserve"> this is</w:t>
      </w:r>
      <w:r w:rsidR="00A74EEE" w:rsidRPr="00F63162">
        <w:rPr>
          <w:rFonts w:ascii="Muli" w:hAnsi="Muli" w:cs="Arial"/>
          <w:sz w:val="28"/>
          <w:szCs w:val="28"/>
        </w:rPr>
        <w:t xml:space="preserve"> a win-win situation.</w:t>
      </w:r>
    </w:p>
    <w:p w14:paraId="73C32413" w14:textId="77777777" w:rsidR="00725781" w:rsidRPr="00F63162" w:rsidRDefault="00725781" w:rsidP="00725781">
      <w:pPr>
        <w:spacing w:line="480" w:lineRule="auto"/>
        <w:ind w:left="1080"/>
        <w:jc w:val="both"/>
        <w:rPr>
          <w:rFonts w:ascii="Muli" w:hAnsi="Muli" w:cs="Arial"/>
          <w:sz w:val="28"/>
          <w:szCs w:val="28"/>
        </w:rPr>
      </w:pPr>
      <w:r w:rsidRPr="00F63162">
        <w:rPr>
          <w:rFonts w:ascii="Muli" w:hAnsi="Muli" w:cs="Arial"/>
          <w:i/>
          <w:sz w:val="28"/>
          <w:szCs w:val="28"/>
          <w:u w:val="single"/>
        </w:rPr>
        <w:t>Conclusion:</w:t>
      </w:r>
    </w:p>
    <w:p w14:paraId="204BD402" w14:textId="642F4DA5" w:rsidR="00F80FD9" w:rsidRPr="00F63162" w:rsidRDefault="00725781" w:rsidP="00805F57">
      <w:pPr>
        <w:pStyle w:val="ListParagraph"/>
        <w:numPr>
          <w:ilvl w:val="0"/>
          <w:numId w:val="2"/>
        </w:numPr>
        <w:spacing w:line="480" w:lineRule="auto"/>
        <w:jc w:val="both"/>
        <w:rPr>
          <w:rFonts w:ascii="Muli" w:hAnsi="Muli" w:cs="Arial"/>
          <w:sz w:val="28"/>
          <w:szCs w:val="28"/>
        </w:rPr>
      </w:pPr>
      <w:r w:rsidRPr="00F63162">
        <w:rPr>
          <w:rFonts w:ascii="Muli" w:hAnsi="Muli" w:cs="Arial"/>
          <w:sz w:val="28"/>
          <w:szCs w:val="28"/>
        </w:rPr>
        <w:t xml:space="preserve">To my mind, such is their role and value, it is difficult to imagine the international dispute resolution system for commercial disputes without thriving commercial courts.  </w:t>
      </w:r>
      <w:r w:rsidR="00EA1B1B" w:rsidRPr="00F63162">
        <w:rPr>
          <w:rFonts w:ascii="Muli" w:hAnsi="Muli" w:cs="Arial"/>
          <w:sz w:val="28"/>
          <w:szCs w:val="28"/>
        </w:rPr>
        <w:t>T</w:t>
      </w:r>
      <w:r w:rsidRPr="00F63162">
        <w:rPr>
          <w:rFonts w:ascii="Muli" w:hAnsi="Muli" w:cs="Arial"/>
          <w:sz w:val="28"/>
          <w:szCs w:val="28"/>
        </w:rPr>
        <w:t xml:space="preserve">hey are of cardinal importance to international trade and investment, together with serving to promote the Rule of Law.  </w:t>
      </w:r>
      <w:r w:rsidR="00EA1B1B" w:rsidRPr="00F63162">
        <w:rPr>
          <w:rFonts w:ascii="Muli" w:hAnsi="Muli" w:cs="Arial"/>
          <w:sz w:val="28"/>
          <w:szCs w:val="28"/>
        </w:rPr>
        <w:t>Commercial courts</w:t>
      </w:r>
      <w:r w:rsidRPr="00F63162">
        <w:rPr>
          <w:rFonts w:ascii="Muli" w:hAnsi="Muli" w:cs="Arial"/>
          <w:sz w:val="28"/>
          <w:szCs w:val="28"/>
        </w:rPr>
        <w:t xml:space="preserve"> and other forms of dispute resolution are complementary and</w:t>
      </w:r>
      <w:r w:rsidR="00EA1B1B" w:rsidRPr="00F63162">
        <w:rPr>
          <w:rFonts w:ascii="Muli" w:hAnsi="Muli" w:cs="Arial"/>
          <w:sz w:val="28"/>
          <w:szCs w:val="28"/>
        </w:rPr>
        <w:t xml:space="preserve"> commercial courts</w:t>
      </w:r>
      <w:r w:rsidRPr="00F63162">
        <w:rPr>
          <w:rFonts w:ascii="Muli" w:hAnsi="Muli" w:cs="Arial"/>
          <w:sz w:val="28"/>
          <w:szCs w:val="28"/>
        </w:rPr>
        <w:t xml:space="preserve"> work best when cooperating with one another, notably under the </w:t>
      </w:r>
      <w:proofErr w:type="spellStart"/>
      <w:r w:rsidRPr="00F63162">
        <w:rPr>
          <w:rFonts w:ascii="Muli" w:hAnsi="Muli" w:cs="Arial"/>
          <w:sz w:val="28"/>
          <w:szCs w:val="28"/>
        </w:rPr>
        <w:t>SIFoCC</w:t>
      </w:r>
      <w:proofErr w:type="spellEnd"/>
      <w:r w:rsidRPr="00F63162">
        <w:rPr>
          <w:rFonts w:ascii="Muli" w:hAnsi="Muli" w:cs="Arial"/>
          <w:sz w:val="28"/>
          <w:szCs w:val="28"/>
        </w:rPr>
        <w:t xml:space="preserve"> umbrella.</w:t>
      </w:r>
    </w:p>
    <w:p w14:paraId="05C2AD01" w14:textId="0EF80A32" w:rsidR="00AB59B3" w:rsidRPr="00F63162" w:rsidRDefault="00AB59B3" w:rsidP="00AB59B3">
      <w:pPr>
        <w:spacing w:line="480" w:lineRule="auto"/>
        <w:jc w:val="both"/>
        <w:rPr>
          <w:rFonts w:ascii="Muli" w:hAnsi="Muli" w:cs="Arial"/>
          <w:sz w:val="28"/>
          <w:szCs w:val="28"/>
        </w:rPr>
      </w:pPr>
    </w:p>
    <w:p w14:paraId="5CABE6BF" w14:textId="6756304E" w:rsidR="00AB59B3" w:rsidRPr="00F63162" w:rsidRDefault="00AB59B3" w:rsidP="00AB59B3">
      <w:pPr>
        <w:spacing w:line="480" w:lineRule="auto"/>
        <w:jc w:val="center"/>
        <w:rPr>
          <w:rFonts w:ascii="Muli" w:hAnsi="Muli" w:cs="Arial"/>
          <w:sz w:val="28"/>
          <w:szCs w:val="28"/>
        </w:rPr>
      </w:pPr>
      <w:r w:rsidRPr="00F63162">
        <w:rPr>
          <w:rFonts w:ascii="Muli" w:hAnsi="Muli" w:cs="Arial"/>
          <w:sz w:val="28"/>
          <w:szCs w:val="28"/>
        </w:rPr>
        <w:t>Sir Peter Gross</w:t>
      </w:r>
    </w:p>
    <w:p w14:paraId="70880809" w14:textId="6123CF3E" w:rsidR="00AB59B3" w:rsidRPr="00F63162" w:rsidRDefault="00AB59B3" w:rsidP="00AB59B3">
      <w:pPr>
        <w:spacing w:line="480" w:lineRule="auto"/>
        <w:jc w:val="center"/>
        <w:rPr>
          <w:rFonts w:ascii="Muli" w:hAnsi="Muli" w:cs="Arial"/>
          <w:sz w:val="28"/>
          <w:szCs w:val="28"/>
        </w:rPr>
      </w:pPr>
      <w:r w:rsidRPr="00F63162">
        <w:rPr>
          <w:rFonts w:ascii="Muli" w:hAnsi="Muli" w:cs="Arial"/>
          <w:sz w:val="28"/>
          <w:szCs w:val="28"/>
        </w:rPr>
        <w:t>March 2021</w:t>
      </w:r>
    </w:p>
    <w:p w14:paraId="181101CF" w14:textId="00B33AB0" w:rsidR="00725781" w:rsidRPr="00F63162" w:rsidRDefault="00725781" w:rsidP="00A867EA">
      <w:pPr>
        <w:spacing w:line="480" w:lineRule="auto"/>
        <w:ind w:left="1080"/>
        <w:jc w:val="both"/>
        <w:rPr>
          <w:rFonts w:ascii="Muli" w:hAnsi="Muli" w:cs="Arial"/>
          <w:sz w:val="28"/>
          <w:szCs w:val="28"/>
        </w:rPr>
      </w:pPr>
    </w:p>
    <w:p w14:paraId="576BB8BB" w14:textId="77777777" w:rsidR="005D4C6A" w:rsidRPr="00F63162" w:rsidRDefault="005D4C6A" w:rsidP="005D4C6A">
      <w:pPr>
        <w:pStyle w:val="ListParagraph"/>
        <w:spacing w:line="480" w:lineRule="auto"/>
        <w:ind w:left="1440"/>
        <w:jc w:val="both"/>
        <w:rPr>
          <w:rFonts w:ascii="Muli" w:hAnsi="Muli" w:cs="Arial"/>
          <w:sz w:val="28"/>
          <w:szCs w:val="28"/>
        </w:rPr>
      </w:pPr>
    </w:p>
    <w:p w14:paraId="7EB0DFC4" w14:textId="77777777" w:rsidR="005D4C6A" w:rsidRPr="00F63162" w:rsidRDefault="005D4C6A" w:rsidP="005D4C6A">
      <w:pPr>
        <w:pStyle w:val="ListParagraph"/>
        <w:spacing w:line="480" w:lineRule="auto"/>
        <w:ind w:left="1440"/>
        <w:jc w:val="both"/>
        <w:rPr>
          <w:rFonts w:ascii="Muli" w:hAnsi="Muli" w:cs="Arial"/>
          <w:sz w:val="28"/>
          <w:szCs w:val="28"/>
        </w:rPr>
      </w:pPr>
    </w:p>
    <w:p w14:paraId="3433A979" w14:textId="77777777" w:rsidR="005D4C6A" w:rsidRPr="00F63162" w:rsidRDefault="005D4C6A" w:rsidP="005D4C6A">
      <w:pPr>
        <w:pStyle w:val="ListParagraph"/>
        <w:spacing w:line="480" w:lineRule="auto"/>
        <w:ind w:left="1440"/>
        <w:jc w:val="both"/>
        <w:rPr>
          <w:rFonts w:ascii="Muli" w:hAnsi="Muli" w:cs="Arial"/>
          <w:sz w:val="28"/>
          <w:szCs w:val="28"/>
        </w:rPr>
      </w:pPr>
    </w:p>
    <w:sectPr w:rsidR="005D4C6A" w:rsidRPr="00F631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2644" w14:textId="77777777" w:rsidR="00E9769B" w:rsidRDefault="00E9769B" w:rsidP="001563A8">
      <w:pPr>
        <w:spacing w:after="0" w:line="240" w:lineRule="auto"/>
      </w:pPr>
      <w:r>
        <w:separator/>
      </w:r>
    </w:p>
  </w:endnote>
  <w:endnote w:type="continuationSeparator" w:id="0">
    <w:p w14:paraId="52245A2D" w14:textId="77777777" w:rsidR="00E9769B" w:rsidRDefault="00E9769B" w:rsidP="0015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B3EE" w14:textId="77777777" w:rsidR="001563A8" w:rsidRDefault="0015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59510"/>
      <w:docPartObj>
        <w:docPartGallery w:val="Page Numbers (Bottom of Page)"/>
        <w:docPartUnique/>
      </w:docPartObj>
    </w:sdtPr>
    <w:sdtEndPr>
      <w:rPr>
        <w:noProof/>
      </w:rPr>
    </w:sdtEndPr>
    <w:sdtContent>
      <w:p w14:paraId="2F3F998A" w14:textId="77777777" w:rsidR="001563A8" w:rsidRDefault="001563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21E19" w14:textId="77777777" w:rsidR="001563A8" w:rsidRDefault="00156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C384" w14:textId="77777777" w:rsidR="001563A8" w:rsidRDefault="0015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B6C5" w14:textId="77777777" w:rsidR="00E9769B" w:rsidRDefault="00E9769B" w:rsidP="001563A8">
      <w:pPr>
        <w:spacing w:after="0" w:line="240" w:lineRule="auto"/>
      </w:pPr>
      <w:r>
        <w:separator/>
      </w:r>
    </w:p>
  </w:footnote>
  <w:footnote w:type="continuationSeparator" w:id="0">
    <w:p w14:paraId="3DCCD5A0" w14:textId="77777777" w:rsidR="00E9769B" w:rsidRDefault="00E9769B" w:rsidP="001563A8">
      <w:pPr>
        <w:spacing w:after="0" w:line="240" w:lineRule="auto"/>
      </w:pPr>
      <w:r>
        <w:continuationSeparator/>
      </w:r>
    </w:p>
  </w:footnote>
  <w:footnote w:id="1">
    <w:p w14:paraId="412B668D" w14:textId="77777777" w:rsidR="00C36AD7" w:rsidRPr="00F63162" w:rsidRDefault="00C36AD7" w:rsidP="00C36AD7">
      <w:pPr>
        <w:pStyle w:val="FootnoteText"/>
        <w:jc w:val="both"/>
        <w:rPr>
          <w:rFonts w:ascii="Muli" w:hAnsi="Muli" w:cs="Times New Roman"/>
        </w:rPr>
      </w:pPr>
      <w:r w:rsidRPr="00F63162">
        <w:rPr>
          <w:rStyle w:val="FootnoteReference"/>
          <w:rFonts w:ascii="Muli" w:hAnsi="Muli" w:cs="Times New Roman"/>
        </w:rPr>
        <w:footnoteRef/>
      </w:r>
      <w:r w:rsidRPr="00F63162">
        <w:rPr>
          <w:rFonts w:ascii="Muli" w:hAnsi="Muli" w:cs="Times New Roman"/>
        </w:rPr>
        <w:t xml:space="preserve"> Dating back to the time of Joseph Conrad – see Maya </w:t>
      </w:r>
      <w:proofErr w:type="spellStart"/>
      <w:r w:rsidRPr="00F63162">
        <w:rPr>
          <w:rFonts w:ascii="Muli" w:hAnsi="Muli" w:cs="Times New Roman"/>
        </w:rPr>
        <w:t>Jasanoff</w:t>
      </w:r>
      <w:proofErr w:type="spellEnd"/>
      <w:r w:rsidRPr="00F63162">
        <w:rPr>
          <w:rFonts w:ascii="Muli" w:hAnsi="Muli" w:cs="Times New Roman"/>
        </w:rPr>
        <w:t xml:space="preserve">, </w:t>
      </w:r>
      <w:r w:rsidRPr="00F63162">
        <w:rPr>
          <w:rFonts w:ascii="Muli" w:hAnsi="Muli" w:cs="Times New Roman"/>
          <w:i/>
        </w:rPr>
        <w:t>The Dawn Watch</w:t>
      </w:r>
      <w:r w:rsidRPr="00F63162">
        <w:rPr>
          <w:rFonts w:ascii="Muli" w:hAnsi="Muli" w:cs="Times New Roman"/>
        </w:rPr>
        <w:t xml:space="preserve"> (2017), esp. at p.120.</w:t>
      </w:r>
    </w:p>
  </w:footnote>
  <w:footnote w:id="2">
    <w:p w14:paraId="6E5490A8" w14:textId="518E5C07" w:rsidR="002D2089" w:rsidRPr="00F63162" w:rsidRDefault="002D2089">
      <w:pPr>
        <w:pStyle w:val="FootnoteText"/>
        <w:rPr>
          <w:rFonts w:ascii="Muli" w:hAnsi="Muli"/>
        </w:rPr>
      </w:pPr>
      <w:r w:rsidRPr="00F63162">
        <w:rPr>
          <w:rStyle w:val="FootnoteReference"/>
          <w:rFonts w:ascii="Muli" w:hAnsi="Muli"/>
        </w:rPr>
        <w:footnoteRef/>
      </w:r>
      <w:r w:rsidRPr="00F63162">
        <w:rPr>
          <w:rFonts w:ascii="Muli" w:hAnsi="Muli"/>
        </w:rPr>
        <w:t xml:space="preserve"> </w:t>
      </w:r>
      <w:r w:rsidR="002E4AE9" w:rsidRPr="00F63162">
        <w:rPr>
          <w:rFonts w:ascii="Muli" w:hAnsi="Muli" w:cs="Times New Roman"/>
          <w:bCs/>
          <w:iCs/>
        </w:rPr>
        <w:t xml:space="preserve">The hapless Judge’s contribution was such that Lord Justice </w:t>
      </w:r>
      <w:proofErr w:type="spellStart"/>
      <w:r w:rsidR="002E4AE9" w:rsidRPr="00F63162">
        <w:rPr>
          <w:rFonts w:ascii="Muli" w:hAnsi="Muli" w:cs="Times New Roman"/>
          <w:bCs/>
          <w:iCs/>
        </w:rPr>
        <w:t>Scrutton</w:t>
      </w:r>
      <w:proofErr w:type="spellEnd"/>
      <w:r w:rsidR="002E4AE9" w:rsidRPr="00F63162">
        <w:rPr>
          <w:rFonts w:ascii="Muli" w:hAnsi="Muli" w:cs="Times New Roman"/>
          <w:bCs/>
          <w:iCs/>
        </w:rPr>
        <w:t xml:space="preserve"> described him as the “Only Begetter of the Commercial Court”. </w:t>
      </w:r>
      <w:r w:rsidRPr="00F63162">
        <w:rPr>
          <w:rFonts w:ascii="Muli" w:hAnsi="Muli"/>
        </w:rPr>
        <w:t>See,</w:t>
      </w:r>
      <w:r w:rsidR="005D4C6A" w:rsidRPr="00F63162">
        <w:rPr>
          <w:rFonts w:ascii="Muli" w:hAnsi="Muli"/>
        </w:rPr>
        <w:t xml:space="preserve"> the memorable and succinct note by</w:t>
      </w:r>
      <w:r w:rsidRPr="00F63162">
        <w:rPr>
          <w:rFonts w:ascii="Muli" w:hAnsi="Muli"/>
        </w:rPr>
        <w:t xml:space="preserve"> </w:t>
      </w:r>
      <w:r w:rsidR="005D4C6A" w:rsidRPr="00F63162">
        <w:rPr>
          <w:rFonts w:ascii="Muli" w:hAnsi="Muli"/>
        </w:rPr>
        <w:t xml:space="preserve">Lord Justice MacKinnon, </w:t>
      </w:r>
      <w:r w:rsidR="005D4C6A" w:rsidRPr="00F63162">
        <w:rPr>
          <w:rFonts w:ascii="Muli" w:hAnsi="Muli"/>
          <w:i/>
          <w:iCs/>
        </w:rPr>
        <w:t>The Origin of the Commercial Court</w:t>
      </w:r>
      <w:r w:rsidR="005D4C6A" w:rsidRPr="00F63162">
        <w:rPr>
          <w:rFonts w:ascii="Muli" w:hAnsi="Muli"/>
        </w:rPr>
        <w:t xml:space="preserve">, (1944) 60 LQR 324.  There is an irony; the Judge’s decision – there were no reasons to speak of – was restored in the House of Lords. </w:t>
      </w:r>
    </w:p>
  </w:footnote>
  <w:footnote w:id="3">
    <w:p w14:paraId="3A91DC78" w14:textId="23D26FCB" w:rsidR="00AA3E15" w:rsidRPr="00F63162" w:rsidRDefault="00AA3E15" w:rsidP="00AA3E15">
      <w:pPr>
        <w:pStyle w:val="FootnoteText"/>
        <w:rPr>
          <w:rFonts w:ascii="Muli" w:hAnsi="Muli"/>
        </w:rPr>
      </w:pPr>
      <w:r w:rsidRPr="00F63162">
        <w:rPr>
          <w:rStyle w:val="FootnoteReference"/>
          <w:rFonts w:ascii="Muli" w:hAnsi="Muli"/>
        </w:rPr>
        <w:footnoteRef/>
      </w:r>
      <w:r w:rsidRPr="00F63162">
        <w:rPr>
          <w:rFonts w:ascii="Muli" w:hAnsi="Muli"/>
        </w:rPr>
        <w:t xml:space="preserve"> </w:t>
      </w:r>
      <w:r w:rsidR="002E4AE9" w:rsidRPr="00F63162">
        <w:rPr>
          <w:rFonts w:ascii="Muli" w:hAnsi="Muli" w:cs="Times New Roman"/>
          <w:bCs/>
          <w:iCs/>
        </w:rPr>
        <w:t>The Commercial Court deals with cases coming within the broad definition of</w:t>
      </w:r>
      <w:r w:rsidR="002E4AE9" w:rsidRPr="00F63162">
        <w:rPr>
          <w:rFonts w:ascii="Muli" w:hAnsi="Muli"/>
          <w:iCs/>
        </w:rPr>
        <w:t xml:space="preserve"> “commercial claim”, to which must be added the work of the closely related Admiralty Court:</w:t>
      </w:r>
      <w:r w:rsidR="002E4AE9" w:rsidRPr="00F63162">
        <w:rPr>
          <w:rFonts w:ascii="Muli" w:hAnsi="Muli"/>
          <w:iCs/>
          <w:sz w:val="28"/>
          <w:szCs w:val="28"/>
        </w:rPr>
        <w:t xml:space="preserve"> </w:t>
      </w:r>
      <w:r w:rsidR="002E4AE9" w:rsidRPr="00F63162">
        <w:rPr>
          <w:rFonts w:ascii="Muli" w:hAnsi="Muli"/>
        </w:rPr>
        <w:t>s</w:t>
      </w:r>
      <w:r w:rsidRPr="00F63162">
        <w:rPr>
          <w:rFonts w:ascii="Muli" w:hAnsi="Muli"/>
        </w:rPr>
        <w:t xml:space="preserve">ee, </w:t>
      </w:r>
      <w:r w:rsidRPr="00F63162">
        <w:rPr>
          <w:rFonts w:ascii="Muli" w:hAnsi="Muli"/>
          <w:i/>
          <w:iCs/>
        </w:rPr>
        <w:t>The Commercial Court Guide, para. B1.1</w:t>
      </w:r>
      <w:r w:rsidRPr="00F63162">
        <w:rPr>
          <w:rFonts w:ascii="Muli" w:hAnsi="Muli"/>
        </w:rPr>
        <w:t>.</w:t>
      </w:r>
      <w:r w:rsidR="0011618D" w:rsidRPr="00F63162">
        <w:rPr>
          <w:rFonts w:ascii="Muli" w:hAnsi="Muli"/>
        </w:rPr>
        <w:t xml:space="preserve"> This definition encompasses “any claim arising out of the transaction of trade and commerce” and </w:t>
      </w:r>
      <w:proofErr w:type="gramStart"/>
      <w:r w:rsidR="0011618D" w:rsidRPr="00F63162">
        <w:rPr>
          <w:rFonts w:ascii="Muli" w:hAnsi="Muli"/>
        </w:rPr>
        <w:t>includes:</w:t>
      </w:r>
      <w:proofErr w:type="gramEnd"/>
      <w:r w:rsidR="0011618D" w:rsidRPr="00F63162">
        <w:rPr>
          <w:rFonts w:ascii="Muli" w:hAnsi="Muli"/>
        </w:rPr>
        <w:t xml:space="preserve"> business documents or contracts; export of import of goods; carriage of goods; oil and gas; insurance and re-insurance; banking and financial services; markets and exchanges; commodities; the construction of ships; business agency and arbitration</w:t>
      </w:r>
      <w:r w:rsidR="0011618D" w:rsidRPr="00F63162">
        <w:rPr>
          <w:rFonts w:ascii="Muli" w:hAnsi="Muli"/>
          <w:iCs/>
          <w:sz w:val="28"/>
          <w:szCs w:val="28"/>
        </w:rPr>
        <w:t>.</w:t>
      </w:r>
    </w:p>
  </w:footnote>
  <w:footnote w:id="4">
    <w:p w14:paraId="244A1019" w14:textId="7A4DB159" w:rsidR="00AA3E15" w:rsidRPr="00F63162" w:rsidRDefault="00AA3E15">
      <w:pPr>
        <w:pStyle w:val="FootnoteText"/>
        <w:rPr>
          <w:rFonts w:ascii="Muli" w:hAnsi="Muli"/>
        </w:rPr>
      </w:pPr>
      <w:r w:rsidRPr="00F63162">
        <w:rPr>
          <w:rStyle w:val="FootnoteReference"/>
          <w:rFonts w:ascii="Muli" w:hAnsi="Muli"/>
        </w:rPr>
        <w:footnoteRef/>
      </w:r>
      <w:r w:rsidRPr="00F63162">
        <w:rPr>
          <w:rFonts w:ascii="Muli" w:hAnsi="Muli"/>
        </w:rPr>
        <w:t xml:space="preserve"> See: </w:t>
      </w:r>
      <w:r w:rsidRPr="00F63162">
        <w:rPr>
          <w:rFonts w:ascii="Muli" w:hAnsi="Muli"/>
          <w:i/>
          <w:iCs/>
        </w:rPr>
        <w:t>The City UK: Legal Excellence, Internationally Renowned; UK Legal Services 20</w:t>
      </w:r>
      <w:r w:rsidR="00DC1638" w:rsidRPr="00F63162">
        <w:rPr>
          <w:rFonts w:ascii="Muli" w:hAnsi="Muli"/>
          <w:i/>
          <w:iCs/>
        </w:rPr>
        <w:t>20</w:t>
      </w:r>
      <w:r w:rsidRPr="00F63162">
        <w:rPr>
          <w:rFonts w:ascii="Muli" w:hAnsi="Muli"/>
          <w:i/>
          <w:iCs/>
        </w:rPr>
        <w:t xml:space="preserve">, </w:t>
      </w:r>
      <w:r w:rsidRPr="00F63162">
        <w:rPr>
          <w:rFonts w:ascii="Muli" w:hAnsi="Muli"/>
        </w:rPr>
        <w:t>at p.29.</w:t>
      </w:r>
    </w:p>
  </w:footnote>
  <w:footnote w:id="5">
    <w:p w14:paraId="3909F5E1" w14:textId="77777777" w:rsidR="00805F57" w:rsidRPr="00F63162" w:rsidRDefault="00805F57">
      <w:pPr>
        <w:pStyle w:val="FootnoteText"/>
        <w:rPr>
          <w:rFonts w:ascii="Muli" w:hAnsi="Muli"/>
        </w:rPr>
      </w:pPr>
      <w:r w:rsidRPr="00F63162">
        <w:rPr>
          <w:rStyle w:val="FootnoteReference"/>
          <w:rFonts w:ascii="Muli" w:hAnsi="Muli"/>
        </w:rPr>
        <w:footnoteRef/>
      </w:r>
      <w:r w:rsidRPr="00F63162">
        <w:rPr>
          <w:rFonts w:ascii="Muli" w:hAnsi="Muli"/>
        </w:rPr>
        <w:t xml:space="preserve"> Kramer and Sorabji (Eds), </w:t>
      </w:r>
      <w:r w:rsidRPr="00F63162">
        <w:rPr>
          <w:rFonts w:ascii="Muli" w:hAnsi="Muli"/>
          <w:i/>
        </w:rPr>
        <w:t>International Business Courts: A European and Global Perspective</w:t>
      </w:r>
      <w:r w:rsidRPr="00F63162">
        <w:rPr>
          <w:rFonts w:ascii="Muli" w:hAnsi="Muli"/>
        </w:rPr>
        <w:t xml:space="preserve"> (2019), at p.1.</w:t>
      </w:r>
    </w:p>
  </w:footnote>
  <w:footnote w:id="6">
    <w:p w14:paraId="4E2A9D97" w14:textId="77777777" w:rsidR="00805F57" w:rsidRPr="00F63162" w:rsidRDefault="00805F57">
      <w:pPr>
        <w:pStyle w:val="FootnoteText"/>
        <w:rPr>
          <w:rFonts w:ascii="Muli" w:hAnsi="Muli"/>
        </w:rPr>
      </w:pPr>
      <w:r w:rsidRPr="00F63162">
        <w:rPr>
          <w:rStyle w:val="FootnoteReference"/>
          <w:rFonts w:ascii="Muli" w:hAnsi="Muli"/>
        </w:rPr>
        <w:footnoteRef/>
      </w:r>
      <w:r w:rsidRPr="00F63162">
        <w:rPr>
          <w:rFonts w:ascii="Muli" w:hAnsi="Muli"/>
        </w:rPr>
        <w:t xml:space="preserve"> Peter </w:t>
      </w:r>
      <w:proofErr w:type="spellStart"/>
      <w:r w:rsidRPr="00F63162">
        <w:rPr>
          <w:rFonts w:ascii="Muli" w:hAnsi="Muli"/>
        </w:rPr>
        <w:t>Frankopan</w:t>
      </w:r>
      <w:proofErr w:type="spellEnd"/>
      <w:r w:rsidRPr="00F63162">
        <w:rPr>
          <w:rFonts w:ascii="Muli" w:hAnsi="Muli"/>
        </w:rPr>
        <w:t xml:space="preserve">, </w:t>
      </w:r>
      <w:r w:rsidRPr="00F63162">
        <w:rPr>
          <w:rFonts w:ascii="Muli" w:hAnsi="Muli"/>
          <w:i/>
        </w:rPr>
        <w:t>The Silk Roads</w:t>
      </w:r>
      <w:r w:rsidRPr="00F63162">
        <w:rPr>
          <w:rFonts w:ascii="Muli" w:hAnsi="Muli"/>
        </w:rPr>
        <w:t xml:space="preserve"> (2015), at p.184.</w:t>
      </w:r>
    </w:p>
  </w:footnote>
  <w:footnote w:id="7">
    <w:p w14:paraId="48A78B14" w14:textId="77777777" w:rsidR="00D371D0" w:rsidRPr="00F63162" w:rsidRDefault="00D371D0" w:rsidP="00D371D0">
      <w:pPr>
        <w:pStyle w:val="FootnoteText"/>
        <w:rPr>
          <w:rFonts w:ascii="Muli" w:hAnsi="Muli"/>
        </w:rPr>
      </w:pPr>
      <w:r w:rsidRPr="00F63162">
        <w:rPr>
          <w:rStyle w:val="FootnoteReference"/>
          <w:rFonts w:ascii="Muli" w:hAnsi="Muli"/>
        </w:rPr>
        <w:footnoteRef/>
      </w:r>
      <w:r w:rsidRPr="00F63162">
        <w:rPr>
          <w:rFonts w:ascii="Muli" w:hAnsi="Muli"/>
        </w:rPr>
        <w:t xml:space="preserve"> See, </w:t>
      </w:r>
      <w:r w:rsidRPr="00F63162">
        <w:rPr>
          <w:rFonts w:ascii="Muli" w:hAnsi="Muli"/>
          <w:i/>
          <w:iCs/>
        </w:rPr>
        <w:t xml:space="preserve">International Business Courts (op </w:t>
      </w:r>
      <w:proofErr w:type="spellStart"/>
      <w:r w:rsidRPr="00F63162">
        <w:rPr>
          <w:rFonts w:ascii="Muli" w:hAnsi="Muli"/>
          <w:i/>
          <w:iCs/>
        </w:rPr>
        <w:t>cit</w:t>
      </w:r>
      <w:proofErr w:type="spellEnd"/>
      <w:r w:rsidRPr="00F63162">
        <w:rPr>
          <w:rFonts w:ascii="Muli" w:hAnsi="Muli"/>
          <w:i/>
          <w:iCs/>
        </w:rPr>
        <w:t>)</w:t>
      </w:r>
      <w:r w:rsidRPr="00F63162">
        <w:rPr>
          <w:rFonts w:ascii="Muli" w:hAnsi="Muli"/>
        </w:rPr>
        <w:t xml:space="preserve">, at pp.2 -3. </w:t>
      </w:r>
    </w:p>
  </w:footnote>
  <w:footnote w:id="8">
    <w:p w14:paraId="681A0873" w14:textId="3FC55024" w:rsidR="00182496" w:rsidRPr="00F63162" w:rsidRDefault="00182496">
      <w:pPr>
        <w:pStyle w:val="FootnoteText"/>
        <w:rPr>
          <w:rFonts w:ascii="Muli" w:hAnsi="Muli"/>
        </w:rPr>
      </w:pPr>
      <w:r w:rsidRPr="00F63162">
        <w:rPr>
          <w:rStyle w:val="FootnoteReference"/>
          <w:rFonts w:ascii="Muli" w:hAnsi="Muli"/>
        </w:rPr>
        <w:footnoteRef/>
      </w:r>
      <w:r w:rsidRPr="00F63162">
        <w:rPr>
          <w:rFonts w:ascii="Muli" w:hAnsi="Muli"/>
        </w:rPr>
        <w:t xml:space="preserve"> In some I use the English Commercial Court as my example, as the Court with which I am most familiar.</w:t>
      </w:r>
    </w:p>
  </w:footnote>
  <w:footnote w:id="9">
    <w:p w14:paraId="0EF9AB35" w14:textId="77777777" w:rsidR="00FA507D" w:rsidRPr="00F63162" w:rsidRDefault="00FA507D" w:rsidP="00FA507D">
      <w:pPr>
        <w:pStyle w:val="FootnoteText"/>
        <w:rPr>
          <w:rFonts w:ascii="Muli" w:hAnsi="Muli"/>
        </w:rPr>
      </w:pPr>
      <w:r w:rsidRPr="00F63162">
        <w:rPr>
          <w:rStyle w:val="FootnoteReference"/>
          <w:rFonts w:ascii="Muli" w:hAnsi="Muli"/>
        </w:rPr>
        <w:footnoteRef/>
      </w:r>
      <w:r w:rsidRPr="00F63162">
        <w:rPr>
          <w:rFonts w:ascii="Muli" w:hAnsi="Muli"/>
        </w:rPr>
        <w:t xml:space="preserve"> I.e., the Standing International Forum of Commercial Courts</w:t>
      </w:r>
    </w:p>
  </w:footnote>
  <w:footnote w:id="10">
    <w:p w14:paraId="2812730E" w14:textId="6721E6B5" w:rsidR="00BC75D0" w:rsidRPr="00F63162" w:rsidRDefault="00BC75D0" w:rsidP="00BC75D0">
      <w:pPr>
        <w:pStyle w:val="FootnoteText"/>
        <w:rPr>
          <w:rFonts w:ascii="Muli" w:hAnsi="Muli"/>
        </w:rPr>
      </w:pPr>
      <w:r w:rsidRPr="00F63162">
        <w:rPr>
          <w:rStyle w:val="FootnoteReference"/>
          <w:rFonts w:ascii="Muli" w:hAnsi="Muli"/>
        </w:rPr>
        <w:footnoteRef/>
      </w:r>
      <w:r w:rsidRPr="00F63162">
        <w:rPr>
          <w:rFonts w:ascii="Muli" w:hAnsi="Muli"/>
        </w:rPr>
        <w:t xml:space="preserve"> See </w:t>
      </w:r>
      <w:r w:rsidRPr="00F63162">
        <w:rPr>
          <w:rFonts w:ascii="Muli" w:hAnsi="Muli"/>
          <w:i/>
        </w:rPr>
        <w:t xml:space="preserve">Bank </w:t>
      </w:r>
      <w:proofErr w:type="spellStart"/>
      <w:r w:rsidRPr="00F63162">
        <w:rPr>
          <w:rFonts w:ascii="Muli" w:hAnsi="Muli"/>
          <w:i/>
        </w:rPr>
        <w:t>Mellat</w:t>
      </w:r>
      <w:proofErr w:type="spellEnd"/>
      <w:r w:rsidRPr="00F63162">
        <w:rPr>
          <w:rFonts w:ascii="Muli" w:hAnsi="Muli"/>
          <w:i/>
        </w:rPr>
        <w:t xml:space="preserve"> v HMT</w:t>
      </w:r>
      <w:r w:rsidRPr="00F63162">
        <w:rPr>
          <w:rFonts w:ascii="Muli" w:hAnsi="Muli"/>
        </w:rPr>
        <w:t xml:space="preserve"> [2019] EWCA </w:t>
      </w:r>
      <w:proofErr w:type="spellStart"/>
      <w:r w:rsidRPr="00F63162">
        <w:rPr>
          <w:rFonts w:ascii="Muli" w:hAnsi="Muli"/>
        </w:rPr>
        <w:t>Civ</w:t>
      </w:r>
      <w:proofErr w:type="spellEnd"/>
      <w:r w:rsidRPr="00F63162">
        <w:rPr>
          <w:rFonts w:ascii="Muli" w:hAnsi="Muli"/>
        </w:rPr>
        <w:t xml:space="preserve"> 449, at [1]</w:t>
      </w:r>
    </w:p>
  </w:footnote>
  <w:footnote w:id="11">
    <w:p w14:paraId="44D5284F" w14:textId="7DCE3D86" w:rsidR="005B5C8F" w:rsidRPr="00F63162" w:rsidRDefault="005B5C8F">
      <w:pPr>
        <w:pStyle w:val="FootnoteText"/>
        <w:rPr>
          <w:rFonts w:ascii="Muli" w:hAnsi="Muli"/>
        </w:rPr>
      </w:pPr>
      <w:r w:rsidRPr="00F63162">
        <w:rPr>
          <w:rStyle w:val="FootnoteReference"/>
          <w:rFonts w:ascii="Muli" w:hAnsi="Muli"/>
        </w:rPr>
        <w:footnoteRef/>
      </w:r>
      <w:r w:rsidRPr="00F63162">
        <w:rPr>
          <w:rFonts w:ascii="Muli" w:hAnsi="Muli"/>
        </w:rPr>
        <w:t xml:space="preserve"> </w:t>
      </w:r>
      <w:r w:rsidRPr="00F63162">
        <w:rPr>
          <w:rFonts w:ascii="Muli" w:hAnsi="Muli"/>
          <w:i/>
          <w:iCs/>
        </w:rPr>
        <w:t>The City UK: Legal Excellence</w:t>
      </w:r>
      <w:r w:rsidRPr="00F63162">
        <w:rPr>
          <w:rFonts w:ascii="Muli" w:hAnsi="Muli"/>
        </w:rPr>
        <w:t xml:space="preserve"> (</w:t>
      </w:r>
      <w:r w:rsidRPr="00F63162">
        <w:rPr>
          <w:rFonts w:ascii="Muli" w:hAnsi="Muli"/>
          <w:i/>
          <w:iCs/>
        </w:rPr>
        <w:t xml:space="preserve">op </w:t>
      </w:r>
      <w:proofErr w:type="spellStart"/>
      <w:r w:rsidRPr="00F63162">
        <w:rPr>
          <w:rFonts w:ascii="Muli" w:hAnsi="Muli"/>
          <w:i/>
          <w:iCs/>
        </w:rPr>
        <w:t>cit</w:t>
      </w:r>
      <w:proofErr w:type="spellEnd"/>
      <w:r w:rsidRPr="00F63162">
        <w:rPr>
          <w:rFonts w:ascii="Muli" w:hAnsi="Muli"/>
        </w:rPr>
        <w:t>), at p.30.</w:t>
      </w:r>
      <w:r w:rsidR="005456F8" w:rsidRPr="00F63162">
        <w:rPr>
          <w:rFonts w:ascii="Muli" w:hAnsi="Muli"/>
        </w:rPr>
        <w:t xml:space="preserve"> 3</w:t>
      </w:r>
    </w:p>
  </w:footnote>
  <w:footnote w:id="12">
    <w:p w14:paraId="6BBF1A0F" w14:textId="4A37C9A6" w:rsidR="005456F8" w:rsidRPr="00F63162" w:rsidRDefault="005456F8">
      <w:pPr>
        <w:pStyle w:val="FootnoteText"/>
        <w:rPr>
          <w:rFonts w:ascii="Muli" w:hAnsi="Muli"/>
        </w:rPr>
      </w:pPr>
      <w:r w:rsidRPr="00F63162">
        <w:rPr>
          <w:rStyle w:val="FootnoteReference"/>
          <w:rFonts w:ascii="Muli" w:hAnsi="Muli"/>
        </w:rPr>
        <w:footnoteRef/>
      </w:r>
      <w:r w:rsidRPr="00F63162">
        <w:rPr>
          <w:rFonts w:ascii="Muli" w:hAnsi="Muli"/>
        </w:rPr>
        <w:t xml:space="preserve"> </w:t>
      </w:r>
      <w:r w:rsidRPr="00F63162">
        <w:rPr>
          <w:rFonts w:ascii="Muli" w:hAnsi="Muli"/>
          <w:i/>
          <w:iCs/>
        </w:rPr>
        <w:t xml:space="preserve">Financial Conduct Authority v Arch Insurance and others </w:t>
      </w:r>
      <w:r w:rsidRPr="00F63162">
        <w:rPr>
          <w:rFonts w:ascii="Muli" w:hAnsi="Muli"/>
        </w:rPr>
        <w:t>[2021] UKSC 1; [2021] 2 WLR 123</w:t>
      </w:r>
    </w:p>
  </w:footnote>
  <w:footnote w:id="13">
    <w:p w14:paraId="4453C64C" w14:textId="081F7AB8" w:rsidR="00732368" w:rsidRPr="00F63162" w:rsidRDefault="00732368">
      <w:pPr>
        <w:pStyle w:val="FootnoteText"/>
        <w:rPr>
          <w:rFonts w:ascii="Muli" w:hAnsi="Muli"/>
        </w:rPr>
      </w:pPr>
      <w:r w:rsidRPr="00F63162">
        <w:rPr>
          <w:rStyle w:val="FootnoteReference"/>
          <w:rFonts w:ascii="Muli" w:hAnsi="Muli"/>
        </w:rPr>
        <w:footnoteRef/>
      </w:r>
      <w:r w:rsidRPr="00F63162">
        <w:rPr>
          <w:rFonts w:ascii="Muli" w:hAnsi="Muli"/>
        </w:rPr>
        <w:t xml:space="preserve"> </w:t>
      </w:r>
      <w:r w:rsidR="00934A53" w:rsidRPr="00F63162">
        <w:rPr>
          <w:rFonts w:ascii="Muli" w:hAnsi="Muli"/>
        </w:rPr>
        <w:t xml:space="preserve">For example, </w:t>
      </w:r>
      <w:r w:rsidR="00934A53" w:rsidRPr="00F63162">
        <w:rPr>
          <w:rFonts w:ascii="Muli" w:hAnsi="Muli"/>
          <w:i/>
          <w:iCs/>
        </w:rPr>
        <w:t xml:space="preserve">Courts and Arbitration, </w:t>
      </w:r>
      <w:r w:rsidR="00934A53" w:rsidRPr="00F63162">
        <w:rPr>
          <w:rFonts w:ascii="Muli" w:hAnsi="Muli"/>
        </w:rPr>
        <w:t>2nd Jonathan Hirst QC Commercial Law Lecture (1 May 2018), [2018] LMCLQ 497</w:t>
      </w:r>
    </w:p>
  </w:footnote>
  <w:footnote w:id="14">
    <w:p w14:paraId="5CEB30C4" w14:textId="67F3F5F2" w:rsidR="00F80FD9" w:rsidRPr="00F63162" w:rsidRDefault="00F80FD9">
      <w:pPr>
        <w:pStyle w:val="FootnoteText"/>
        <w:rPr>
          <w:rFonts w:ascii="Muli" w:hAnsi="Muli"/>
        </w:rPr>
      </w:pPr>
      <w:r w:rsidRPr="00F63162">
        <w:rPr>
          <w:rStyle w:val="FootnoteReference"/>
          <w:rFonts w:ascii="Muli" w:hAnsi="Muli"/>
        </w:rPr>
        <w:footnoteRef/>
      </w:r>
      <w:r w:rsidRPr="00F63162">
        <w:rPr>
          <w:rFonts w:ascii="Muli" w:hAnsi="Muli"/>
        </w:rPr>
        <w:t xml:space="preserve"> </w:t>
      </w:r>
      <w:r w:rsidR="00805ED0" w:rsidRPr="00F63162">
        <w:rPr>
          <w:rFonts w:ascii="Muli" w:hAnsi="Muli"/>
        </w:rPr>
        <w:t xml:space="preserve">See, John </w:t>
      </w:r>
      <w:proofErr w:type="spellStart"/>
      <w:r w:rsidR="00805ED0" w:rsidRPr="00F63162">
        <w:rPr>
          <w:rFonts w:ascii="Muli" w:hAnsi="Muli"/>
        </w:rPr>
        <w:t>Sorabji</w:t>
      </w:r>
      <w:proofErr w:type="spellEnd"/>
      <w:r w:rsidR="00805ED0" w:rsidRPr="00F63162">
        <w:rPr>
          <w:rFonts w:ascii="Muli" w:hAnsi="Muli"/>
        </w:rPr>
        <w:t xml:space="preserve"> and </w:t>
      </w:r>
      <w:proofErr w:type="spellStart"/>
      <w:r w:rsidR="00805ED0" w:rsidRPr="00F63162">
        <w:rPr>
          <w:rFonts w:ascii="Muli" w:hAnsi="Muli"/>
        </w:rPr>
        <w:t>Xandra</w:t>
      </w:r>
      <w:proofErr w:type="spellEnd"/>
      <w:r w:rsidR="00805ED0" w:rsidRPr="00F63162">
        <w:rPr>
          <w:rFonts w:ascii="Muli" w:hAnsi="Muli"/>
        </w:rPr>
        <w:t xml:space="preserve"> Kramer, </w:t>
      </w:r>
      <w:r w:rsidR="00805ED0" w:rsidRPr="00F63162">
        <w:rPr>
          <w:rFonts w:ascii="Muli" w:hAnsi="Muli"/>
          <w:i/>
          <w:iCs/>
        </w:rPr>
        <w:t xml:space="preserve">Introduction – The International Business of Courts, </w:t>
      </w:r>
      <w:r w:rsidR="00805ED0" w:rsidRPr="00F63162">
        <w:rPr>
          <w:rFonts w:ascii="Muli" w:hAnsi="Muli"/>
        </w:rPr>
        <w:t xml:space="preserve">at pp.6-7, and Man Yip, </w:t>
      </w:r>
      <w:r w:rsidR="00805ED0" w:rsidRPr="00F63162">
        <w:rPr>
          <w:rFonts w:ascii="Muli" w:hAnsi="Muli"/>
          <w:i/>
          <w:iCs/>
        </w:rPr>
        <w:t>The Singapore International Commercial Court: The Future of Litigation</w:t>
      </w:r>
      <w:r w:rsidR="00805ED0" w:rsidRPr="00F63162">
        <w:rPr>
          <w:rFonts w:ascii="Muli" w:hAnsi="Muli"/>
        </w:rPr>
        <w:t>, at pp. 129-130</w:t>
      </w:r>
      <w:r w:rsidR="005D4C6A" w:rsidRPr="00F63162">
        <w:rPr>
          <w:rFonts w:ascii="Muli" w:hAnsi="Muli"/>
        </w:rPr>
        <w:t xml:space="preserve"> and pp. 141 and following, </w:t>
      </w:r>
      <w:r w:rsidR="00805ED0" w:rsidRPr="00F63162">
        <w:rPr>
          <w:rFonts w:ascii="Muli" w:hAnsi="Muli"/>
        </w:rPr>
        <w:t xml:space="preserve">both in </w:t>
      </w:r>
      <w:r w:rsidR="00805ED0" w:rsidRPr="00F63162">
        <w:rPr>
          <w:rFonts w:ascii="Muli" w:hAnsi="Muli"/>
          <w:i/>
          <w:iCs/>
        </w:rPr>
        <w:t xml:space="preserve">International Business Courts (op </w:t>
      </w:r>
      <w:proofErr w:type="spellStart"/>
      <w:r w:rsidR="00805ED0" w:rsidRPr="00F63162">
        <w:rPr>
          <w:rFonts w:ascii="Muli" w:hAnsi="Muli"/>
          <w:i/>
          <w:iCs/>
        </w:rPr>
        <w:t>cit</w:t>
      </w:r>
      <w:proofErr w:type="spellEnd"/>
      <w:r w:rsidR="00805ED0" w:rsidRPr="00F63162">
        <w:rPr>
          <w:rFonts w:ascii="Muli" w:hAnsi="Muli"/>
          <w:i/>
          <w:iCs/>
        </w:rPr>
        <w:t>)</w:t>
      </w:r>
      <w:r w:rsidR="00805ED0" w:rsidRPr="00F63162">
        <w:rPr>
          <w:rFonts w:ascii="Muli" w:hAnsi="Muli"/>
        </w:rPr>
        <w:t>.</w:t>
      </w:r>
      <w:r w:rsidR="005B5C8F" w:rsidRPr="00F63162">
        <w:rPr>
          <w:rFonts w:ascii="Muli" w:hAnsi="Muli"/>
        </w:rPr>
        <w:t xml:space="preserve">  So too (see above), the DIFC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7145" w14:textId="77777777" w:rsidR="001563A8" w:rsidRDefault="00156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6A10" w14:textId="77777777" w:rsidR="001563A8" w:rsidRDefault="00156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55BC" w14:textId="77777777" w:rsidR="001563A8" w:rsidRDefault="0015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243AB"/>
    <w:multiLevelType w:val="hybridMultilevel"/>
    <w:tmpl w:val="947C05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1FD7A74"/>
    <w:multiLevelType w:val="hybridMultilevel"/>
    <w:tmpl w:val="18888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81B11"/>
    <w:multiLevelType w:val="hybridMultilevel"/>
    <w:tmpl w:val="7442733C"/>
    <w:lvl w:ilvl="0" w:tplc="34D2A7E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CA"/>
    <w:rsid w:val="00000882"/>
    <w:rsid w:val="000722F5"/>
    <w:rsid w:val="000C1858"/>
    <w:rsid w:val="000C55DF"/>
    <w:rsid w:val="00104D91"/>
    <w:rsid w:val="0011618D"/>
    <w:rsid w:val="00117C3A"/>
    <w:rsid w:val="001563A8"/>
    <w:rsid w:val="001666DE"/>
    <w:rsid w:val="00182496"/>
    <w:rsid w:val="00221862"/>
    <w:rsid w:val="002D2089"/>
    <w:rsid w:val="002E1222"/>
    <w:rsid w:val="002E4AE9"/>
    <w:rsid w:val="00302876"/>
    <w:rsid w:val="0032761D"/>
    <w:rsid w:val="003344F9"/>
    <w:rsid w:val="00357A16"/>
    <w:rsid w:val="00432578"/>
    <w:rsid w:val="00443ACA"/>
    <w:rsid w:val="00451A85"/>
    <w:rsid w:val="00462C10"/>
    <w:rsid w:val="00466347"/>
    <w:rsid w:val="004E274E"/>
    <w:rsid w:val="00525156"/>
    <w:rsid w:val="005456F8"/>
    <w:rsid w:val="005614C6"/>
    <w:rsid w:val="005B06CD"/>
    <w:rsid w:val="005B5C8F"/>
    <w:rsid w:val="005C6EFB"/>
    <w:rsid w:val="005D4C6A"/>
    <w:rsid w:val="005D7B94"/>
    <w:rsid w:val="005F784E"/>
    <w:rsid w:val="005F7917"/>
    <w:rsid w:val="00601BE9"/>
    <w:rsid w:val="00644E4D"/>
    <w:rsid w:val="0067114C"/>
    <w:rsid w:val="006F4757"/>
    <w:rsid w:val="00725781"/>
    <w:rsid w:val="00732368"/>
    <w:rsid w:val="007527C7"/>
    <w:rsid w:val="00763DCA"/>
    <w:rsid w:val="007859CE"/>
    <w:rsid w:val="007873A6"/>
    <w:rsid w:val="007D0EAB"/>
    <w:rsid w:val="007F62CF"/>
    <w:rsid w:val="00805ED0"/>
    <w:rsid w:val="00805F57"/>
    <w:rsid w:val="008100A5"/>
    <w:rsid w:val="00820532"/>
    <w:rsid w:val="00851950"/>
    <w:rsid w:val="00860B0A"/>
    <w:rsid w:val="008C2479"/>
    <w:rsid w:val="008D6380"/>
    <w:rsid w:val="00934A53"/>
    <w:rsid w:val="009439FF"/>
    <w:rsid w:val="00973AEB"/>
    <w:rsid w:val="009E32F2"/>
    <w:rsid w:val="00A74EEE"/>
    <w:rsid w:val="00A867EA"/>
    <w:rsid w:val="00AA3E15"/>
    <w:rsid w:val="00AB59B3"/>
    <w:rsid w:val="00AC033F"/>
    <w:rsid w:val="00AC235B"/>
    <w:rsid w:val="00AC4A05"/>
    <w:rsid w:val="00AD5E88"/>
    <w:rsid w:val="00AE23D1"/>
    <w:rsid w:val="00B441B1"/>
    <w:rsid w:val="00B64A72"/>
    <w:rsid w:val="00BC75D0"/>
    <w:rsid w:val="00BE5915"/>
    <w:rsid w:val="00BF0610"/>
    <w:rsid w:val="00C11183"/>
    <w:rsid w:val="00C36AD7"/>
    <w:rsid w:val="00CA7CB1"/>
    <w:rsid w:val="00CD7938"/>
    <w:rsid w:val="00CE1216"/>
    <w:rsid w:val="00CE4AB1"/>
    <w:rsid w:val="00CF67B0"/>
    <w:rsid w:val="00D23503"/>
    <w:rsid w:val="00D25BB9"/>
    <w:rsid w:val="00D371D0"/>
    <w:rsid w:val="00D770FA"/>
    <w:rsid w:val="00D909F0"/>
    <w:rsid w:val="00DA5D7B"/>
    <w:rsid w:val="00DB5C4F"/>
    <w:rsid w:val="00DC1638"/>
    <w:rsid w:val="00DD3DB8"/>
    <w:rsid w:val="00DE6E97"/>
    <w:rsid w:val="00E01A12"/>
    <w:rsid w:val="00E4544D"/>
    <w:rsid w:val="00E9769B"/>
    <w:rsid w:val="00EA1B1B"/>
    <w:rsid w:val="00EB17C2"/>
    <w:rsid w:val="00EB6CB8"/>
    <w:rsid w:val="00F1508D"/>
    <w:rsid w:val="00F16CEF"/>
    <w:rsid w:val="00F57316"/>
    <w:rsid w:val="00F63162"/>
    <w:rsid w:val="00F80FD9"/>
    <w:rsid w:val="00FA3D2B"/>
    <w:rsid w:val="00FA507D"/>
    <w:rsid w:val="00FC5734"/>
    <w:rsid w:val="00FE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2B3D"/>
  <w15:chartTrackingRefBased/>
  <w15:docId w15:val="{F06EB484-2EFF-4C4C-9557-53E8592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CA"/>
    <w:pPr>
      <w:ind w:left="720"/>
      <w:contextualSpacing/>
    </w:pPr>
  </w:style>
  <w:style w:type="paragraph" w:styleId="Header">
    <w:name w:val="header"/>
    <w:basedOn w:val="Normal"/>
    <w:link w:val="HeaderChar"/>
    <w:uiPriority w:val="99"/>
    <w:unhideWhenUsed/>
    <w:rsid w:val="0015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3A8"/>
  </w:style>
  <w:style w:type="paragraph" w:styleId="Footer">
    <w:name w:val="footer"/>
    <w:basedOn w:val="Normal"/>
    <w:link w:val="FooterChar"/>
    <w:uiPriority w:val="99"/>
    <w:unhideWhenUsed/>
    <w:rsid w:val="0015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3A8"/>
  </w:style>
  <w:style w:type="paragraph" w:styleId="FootnoteText">
    <w:name w:val="footnote text"/>
    <w:basedOn w:val="Normal"/>
    <w:link w:val="FootnoteTextChar"/>
    <w:uiPriority w:val="99"/>
    <w:semiHidden/>
    <w:unhideWhenUsed/>
    <w:rsid w:val="00DA5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D7B"/>
    <w:rPr>
      <w:sz w:val="20"/>
      <w:szCs w:val="20"/>
    </w:rPr>
  </w:style>
  <w:style w:type="character" w:styleId="FootnoteReference">
    <w:name w:val="footnote reference"/>
    <w:basedOn w:val="DefaultParagraphFont"/>
    <w:uiPriority w:val="99"/>
    <w:semiHidden/>
    <w:unhideWhenUsed/>
    <w:rsid w:val="00DA5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5EF8-F2E7-4D93-9912-CFDC4B9D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Peter Gross</dc:creator>
  <cp:keywords/>
  <dc:description/>
  <cp:lastModifiedBy>Angelica Lam</cp:lastModifiedBy>
  <cp:revision>2</cp:revision>
  <cp:lastPrinted>2021-02-21T16:46:00Z</cp:lastPrinted>
  <dcterms:created xsi:type="dcterms:W3CDTF">2021-03-10T11:11:00Z</dcterms:created>
  <dcterms:modified xsi:type="dcterms:W3CDTF">2021-03-10T11:11:00Z</dcterms:modified>
</cp:coreProperties>
</file>